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F208BA" w14:textId="572AF538" w:rsidR="0074414D" w:rsidRPr="0074414D" w:rsidRDefault="0074414D" w:rsidP="0074414D">
      <w:pPr>
        <w:pStyle w:val="NormalWeb"/>
        <w:shd w:val="clear" w:color="auto" w:fill="FFFFFF"/>
        <w:spacing w:before="0" w:beforeAutospacing="0"/>
        <w:rPr>
          <w:rFonts w:asciiTheme="minorHAnsi" w:hAnsiTheme="minorHAnsi" w:cstheme="minorHAnsi"/>
          <w:color w:val="444444"/>
        </w:rPr>
      </w:pPr>
      <w:r w:rsidRPr="0074414D">
        <w:rPr>
          <w:rFonts w:asciiTheme="minorHAnsi" w:hAnsiTheme="minorHAnsi" w:cstheme="minorHAnsi"/>
          <w:color w:val="444444"/>
        </w:rPr>
        <w:t xml:space="preserve">The healthy adult brain is commonly thought to contain as many as 100 billion nerve cells, and you can supercharge their performance with focused nutrition. </w:t>
      </w:r>
    </w:p>
    <w:p w14:paraId="032EEEC6" w14:textId="049BCF2C" w:rsidR="0074414D" w:rsidRPr="0074414D" w:rsidRDefault="0074414D" w:rsidP="0074414D">
      <w:pPr>
        <w:pStyle w:val="NormalWeb"/>
        <w:shd w:val="clear" w:color="auto" w:fill="FFFFFF"/>
        <w:spacing w:before="0" w:beforeAutospacing="0"/>
        <w:rPr>
          <w:rFonts w:asciiTheme="minorHAnsi" w:hAnsiTheme="minorHAnsi" w:cstheme="minorHAnsi"/>
          <w:color w:val="444444"/>
        </w:rPr>
      </w:pPr>
      <w:r w:rsidRPr="0074414D">
        <w:rPr>
          <w:rFonts w:asciiTheme="minorHAnsi" w:hAnsiTheme="minorHAnsi" w:cstheme="minorHAnsi"/>
          <w:b/>
          <w:bCs/>
          <w:color w:val="444444"/>
        </w:rPr>
        <w:t>Sage</w:t>
      </w:r>
      <w:r w:rsidRPr="0074414D">
        <w:rPr>
          <w:rFonts w:asciiTheme="minorHAnsi" w:hAnsiTheme="minorHAnsi" w:cstheme="minorHAnsi"/>
          <w:color w:val="444444"/>
        </w:rPr>
        <w:t xml:space="preserve"> supports mood and cognitive performance.</w:t>
      </w:r>
      <w:r w:rsidRPr="0074414D">
        <w:rPr>
          <w:rFonts w:asciiTheme="minorHAnsi" w:hAnsiTheme="minorHAnsi" w:cstheme="minorHAnsi"/>
          <w:color w:val="444444"/>
          <w:vertAlign w:val="superscript"/>
        </w:rPr>
        <w:t>1,2</w:t>
      </w:r>
      <w:r w:rsidRPr="0074414D">
        <w:rPr>
          <w:rFonts w:asciiTheme="minorHAnsi" w:hAnsiTheme="minorHAnsi" w:cstheme="minorHAnsi"/>
          <w:color w:val="444444"/>
        </w:rPr>
        <w:t xml:space="preserve"> sage extract, encourage healthy cognitive function.</w:t>
      </w:r>
    </w:p>
    <w:p w14:paraId="50148AD8" w14:textId="3A04C822" w:rsidR="0074414D" w:rsidRPr="0074414D" w:rsidRDefault="0074414D" w:rsidP="0074414D">
      <w:pPr>
        <w:pStyle w:val="NormalWeb"/>
        <w:shd w:val="clear" w:color="auto" w:fill="FFFFFF"/>
        <w:spacing w:before="0" w:beforeAutospacing="0"/>
        <w:rPr>
          <w:rFonts w:asciiTheme="minorHAnsi" w:hAnsiTheme="minorHAnsi" w:cstheme="minorHAnsi"/>
          <w:color w:val="444444"/>
        </w:rPr>
      </w:pPr>
      <w:r w:rsidRPr="0074414D">
        <w:rPr>
          <w:rFonts w:asciiTheme="minorHAnsi" w:hAnsiTheme="minorHAnsi" w:cstheme="minorHAnsi"/>
          <w:b/>
          <w:bCs/>
          <w:color w:val="444444"/>
        </w:rPr>
        <w:t>Phosphatidylserine</w:t>
      </w:r>
      <w:r w:rsidRPr="0074414D">
        <w:rPr>
          <w:rFonts w:asciiTheme="minorHAnsi" w:hAnsiTheme="minorHAnsi" w:cstheme="minorHAnsi"/>
          <w:color w:val="444444"/>
        </w:rPr>
        <w:t>,</w:t>
      </w:r>
      <w:r w:rsidRPr="0074414D">
        <w:rPr>
          <w:rFonts w:asciiTheme="minorHAnsi" w:hAnsiTheme="minorHAnsi" w:cstheme="minorHAnsi"/>
          <w:color w:val="444444"/>
        </w:rPr>
        <w:t xml:space="preserve"> an essential component of healthy cell membranes, is critical to brain metabolism and function.</w:t>
      </w:r>
      <w:r w:rsidRPr="0074414D">
        <w:rPr>
          <w:rFonts w:asciiTheme="minorHAnsi" w:hAnsiTheme="minorHAnsi" w:cstheme="minorHAnsi"/>
          <w:color w:val="444444"/>
          <w:vertAlign w:val="superscript"/>
        </w:rPr>
        <w:t>3,4</w:t>
      </w:r>
      <w:r w:rsidRPr="0074414D">
        <w:rPr>
          <w:rFonts w:asciiTheme="minorHAnsi" w:hAnsiTheme="minorHAnsi" w:cstheme="minorHAnsi"/>
          <w:color w:val="444444"/>
        </w:rPr>
        <w:t> It promotes healthy memory and delayed recall.</w:t>
      </w:r>
      <w:r w:rsidRPr="0074414D">
        <w:rPr>
          <w:rFonts w:asciiTheme="minorHAnsi" w:hAnsiTheme="minorHAnsi" w:cstheme="minorHAnsi"/>
          <w:color w:val="444444"/>
          <w:vertAlign w:val="superscript"/>
        </w:rPr>
        <w:t>5</w:t>
      </w:r>
    </w:p>
    <w:p w14:paraId="2F3A6CFF" w14:textId="77777777" w:rsidR="0074414D" w:rsidRPr="0074414D" w:rsidRDefault="0074414D" w:rsidP="0074414D">
      <w:pPr>
        <w:pStyle w:val="NormalWeb"/>
        <w:shd w:val="clear" w:color="auto" w:fill="FFFFFF"/>
        <w:spacing w:before="0" w:beforeAutospacing="0"/>
        <w:rPr>
          <w:rFonts w:asciiTheme="minorHAnsi" w:hAnsiTheme="minorHAnsi" w:cstheme="minorHAnsi"/>
          <w:color w:val="444444"/>
        </w:rPr>
      </w:pPr>
      <w:r w:rsidRPr="0074414D">
        <w:rPr>
          <w:rFonts w:asciiTheme="minorHAnsi" w:hAnsiTheme="minorHAnsi" w:cstheme="minorHAnsi"/>
          <w:color w:val="444444"/>
        </w:rPr>
        <w:t xml:space="preserve">In a clinical study, </w:t>
      </w:r>
      <w:r w:rsidRPr="0074414D">
        <w:rPr>
          <w:rFonts w:asciiTheme="minorHAnsi" w:hAnsiTheme="minorHAnsi" w:cstheme="minorHAnsi"/>
          <w:b/>
          <w:bCs/>
          <w:color w:val="444444"/>
        </w:rPr>
        <w:t xml:space="preserve">ashwagandha </w:t>
      </w:r>
      <w:r w:rsidRPr="0074414D">
        <w:rPr>
          <w:rFonts w:asciiTheme="minorHAnsi" w:hAnsiTheme="minorHAnsi" w:cstheme="minorHAnsi"/>
          <w:color w:val="444444"/>
        </w:rPr>
        <w:t>was found to promote calm, focus, a healthy stress response and encouraged overall health and well-being.</w:t>
      </w:r>
      <w:r w:rsidRPr="0074414D">
        <w:rPr>
          <w:rFonts w:asciiTheme="minorHAnsi" w:hAnsiTheme="minorHAnsi" w:cstheme="minorHAnsi"/>
          <w:color w:val="444444"/>
          <w:vertAlign w:val="superscript"/>
        </w:rPr>
        <w:t>6</w:t>
      </w:r>
    </w:p>
    <w:p w14:paraId="588799F2" w14:textId="261B07D0" w:rsidR="0074414D" w:rsidRPr="0074414D" w:rsidRDefault="0074414D" w:rsidP="0074414D">
      <w:pPr>
        <w:pStyle w:val="NormalWeb"/>
        <w:shd w:val="clear" w:color="auto" w:fill="FFFFFF"/>
        <w:spacing w:before="0" w:beforeAutospacing="0"/>
        <w:rPr>
          <w:rFonts w:asciiTheme="minorHAnsi" w:hAnsiTheme="minorHAnsi" w:cstheme="minorHAnsi"/>
          <w:color w:val="444444"/>
        </w:rPr>
      </w:pPr>
      <w:r w:rsidRPr="0074414D">
        <w:rPr>
          <w:rStyle w:val="Strong"/>
          <w:rFonts w:asciiTheme="minorHAnsi" w:eastAsiaTheme="majorEastAsia" w:hAnsiTheme="minorHAnsi" w:cstheme="minorHAnsi"/>
          <w:color w:val="444444"/>
        </w:rPr>
        <w:t>Vinpocetine</w:t>
      </w:r>
      <w:r>
        <w:rPr>
          <w:rStyle w:val="Strong"/>
          <w:rFonts w:asciiTheme="minorHAnsi" w:eastAsiaTheme="majorEastAsia" w:hAnsiTheme="minorHAnsi" w:cstheme="minorHAnsi"/>
          <w:color w:val="444444"/>
        </w:rPr>
        <w:t xml:space="preserve">: </w:t>
      </w:r>
      <w:r w:rsidRPr="0074414D">
        <w:rPr>
          <w:rFonts w:asciiTheme="minorHAnsi" w:hAnsiTheme="minorHAnsi" w:cstheme="minorHAnsi"/>
          <w:color w:val="444444"/>
        </w:rPr>
        <w:t>In a clinical trial, vinpocetine, an alkaloid derived from the periwinkle plant, demonstrated support for healthy memory and concentration.</w:t>
      </w:r>
      <w:r w:rsidRPr="0074414D">
        <w:rPr>
          <w:rFonts w:asciiTheme="minorHAnsi" w:hAnsiTheme="minorHAnsi" w:cstheme="minorHAnsi"/>
          <w:color w:val="444444"/>
          <w:vertAlign w:val="superscript"/>
        </w:rPr>
        <w:t>7</w:t>
      </w:r>
    </w:p>
    <w:p w14:paraId="2B636FC4" w14:textId="77777777" w:rsidR="003D5A75" w:rsidRPr="003D5A75" w:rsidRDefault="003D5A75" w:rsidP="003D5A75">
      <w:pPr>
        <w:numPr>
          <w:ilvl w:val="0"/>
          <w:numId w:val="1"/>
        </w:numPr>
        <w:shd w:val="clear" w:color="auto" w:fill="FFFFFF"/>
        <w:spacing w:before="100" w:beforeAutospacing="1" w:after="100" w:afterAutospacing="1" w:line="240" w:lineRule="auto"/>
        <w:ind w:left="1080"/>
        <w:rPr>
          <w:rFonts w:eastAsia="Times New Roman" w:cstheme="minorHAnsi"/>
          <w:kern w:val="0"/>
          <w:sz w:val="18"/>
          <w:szCs w:val="18"/>
          <w14:ligatures w14:val="none"/>
        </w:rPr>
      </w:pPr>
      <w:r w:rsidRPr="003D5A75">
        <w:rPr>
          <w:rFonts w:eastAsia="Times New Roman" w:cstheme="minorHAnsi"/>
          <w:i/>
          <w:iCs/>
          <w:kern w:val="0"/>
          <w:sz w:val="18"/>
          <w:szCs w:val="18"/>
          <w14:ligatures w14:val="none"/>
        </w:rPr>
        <w:t>Neuropsychopharmacology</w:t>
      </w:r>
      <w:r w:rsidRPr="003D5A75">
        <w:rPr>
          <w:rFonts w:eastAsia="Times New Roman" w:cstheme="minorHAnsi"/>
          <w:kern w:val="0"/>
          <w:sz w:val="18"/>
          <w:szCs w:val="18"/>
          <w14:ligatures w14:val="none"/>
        </w:rPr>
        <w:t>. 2006;31(4):845-52.</w:t>
      </w:r>
    </w:p>
    <w:p w14:paraId="20C36F59" w14:textId="77777777" w:rsidR="003D5A75" w:rsidRPr="003D5A75" w:rsidRDefault="003D5A75" w:rsidP="003D5A75">
      <w:pPr>
        <w:numPr>
          <w:ilvl w:val="0"/>
          <w:numId w:val="1"/>
        </w:numPr>
        <w:shd w:val="clear" w:color="auto" w:fill="FFFFFF"/>
        <w:spacing w:before="100" w:beforeAutospacing="1" w:after="100" w:afterAutospacing="1" w:line="240" w:lineRule="auto"/>
        <w:ind w:left="1080"/>
        <w:rPr>
          <w:rFonts w:eastAsia="Times New Roman" w:cstheme="minorHAnsi"/>
          <w:kern w:val="0"/>
          <w:sz w:val="18"/>
          <w:szCs w:val="18"/>
          <w14:ligatures w14:val="none"/>
        </w:rPr>
      </w:pPr>
      <w:r w:rsidRPr="003D5A75">
        <w:rPr>
          <w:rFonts w:eastAsia="Times New Roman" w:cstheme="minorHAnsi"/>
          <w:i/>
          <w:iCs/>
          <w:kern w:val="0"/>
          <w:sz w:val="18"/>
          <w:szCs w:val="18"/>
          <w14:ligatures w14:val="none"/>
        </w:rPr>
        <w:t>Psychopharmacology (Berl)</w:t>
      </w:r>
      <w:r w:rsidRPr="003D5A75">
        <w:rPr>
          <w:rFonts w:eastAsia="Times New Roman" w:cstheme="minorHAnsi"/>
          <w:kern w:val="0"/>
          <w:sz w:val="18"/>
          <w:szCs w:val="18"/>
          <w14:ligatures w14:val="none"/>
        </w:rPr>
        <w:t>. 2008;198(1):127-39.</w:t>
      </w:r>
    </w:p>
    <w:p w14:paraId="04936534" w14:textId="77777777" w:rsidR="003D5A75" w:rsidRPr="003D5A75" w:rsidRDefault="003D5A75" w:rsidP="003D5A75">
      <w:pPr>
        <w:numPr>
          <w:ilvl w:val="0"/>
          <w:numId w:val="1"/>
        </w:numPr>
        <w:shd w:val="clear" w:color="auto" w:fill="FFFFFF"/>
        <w:spacing w:before="100" w:beforeAutospacing="1" w:after="100" w:afterAutospacing="1" w:line="240" w:lineRule="auto"/>
        <w:ind w:left="1080"/>
        <w:rPr>
          <w:rFonts w:eastAsia="Times New Roman" w:cstheme="minorHAnsi"/>
          <w:kern w:val="0"/>
          <w:sz w:val="18"/>
          <w:szCs w:val="18"/>
          <w14:ligatures w14:val="none"/>
        </w:rPr>
      </w:pPr>
      <w:r w:rsidRPr="003D5A75">
        <w:rPr>
          <w:rFonts w:eastAsia="Times New Roman" w:cstheme="minorHAnsi"/>
          <w:i/>
          <w:iCs/>
          <w:kern w:val="0"/>
          <w:sz w:val="18"/>
          <w:szCs w:val="18"/>
          <w14:ligatures w14:val="none"/>
        </w:rPr>
        <w:t>Prog Lipid Res</w:t>
      </w:r>
      <w:r w:rsidRPr="003D5A75">
        <w:rPr>
          <w:rFonts w:eastAsia="Times New Roman" w:cstheme="minorHAnsi"/>
          <w:kern w:val="0"/>
          <w:sz w:val="18"/>
          <w:szCs w:val="18"/>
          <w14:ligatures w14:val="none"/>
        </w:rPr>
        <w:t xml:space="preserve">. </w:t>
      </w:r>
      <w:proofErr w:type="gramStart"/>
      <w:r w:rsidRPr="003D5A75">
        <w:rPr>
          <w:rFonts w:eastAsia="Times New Roman" w:cstheme="minorHAnsi"/>
          <w:kern w:val="0"/>
          <w:sz w:val="18"/>
          <w:szCs w:val="18"/>
          <w14:ligatures w14:val="none"/>
        </w:rPr>
        <w:t>2014;56:1</w:t>
      </w:r>
      <w:proofErr w:type="gramEnd"/>
      <w:r w:rsidRPr="003D5A75">
        <w:rPr>
          <w:rFonts w:eastAsia="Times New Roman" w:cstheme="minorHAnsi"/>
          <w:kern w:val="0"/>
          <w:sz w:val="18"/>
          <w:szCs w:val="18"/>
          <w14:ligatures w14:val="none"/>
        </w:rPr>
        <w:t>-18.</w:t>
      </w:r>
    </w:p>
    <w:p w14:paraId="259E3463" w14:textId="77777777" w:rsidR="003D5A75" w:rsidRPr="003D5A75" w:rsidRDefault="003D5A75" w:rsidP="003D5A75">
      <w:pPr>
        <w:numPr>
          <w:ilvl w:val="0"/>
          <w:numId w:val="1"/>
        </w:numPr>
        <w:shd w:val="clear" w:color="auto" w:fill="FFFFFF"/>
        <w:spacing w:before="100" w:beforeAutospacing="1" w:after="100" w:afterAutospacing="1" w:line="240" w:lineRule="auto"/>
        <w:ind w:left="1080"/>
        <w:rPr>
          <w:rFonts w:eastAsia="Times New Roman" w:cstheme="minorHAnsi"/>
          <w:kern w:val="0"/>
          <w:sz w:val="18"/>
          <w:szCs w:val="18"/>
          <w14:ligatures w14:val="none"/>
        </w:rPr>
      </w:pPr>
      <w:r w:rsidRPr="003D5A75">
        <w:rPr>
          <w:rFonts w:eastAsia="Times New Roman" w:cstheme="minorHAnsi"/>
          <w:i/>
          <w:iCs/>
          <w:kern w:val="0"/>
          <w:sz w:val="18"/>
          <w:szCs w:val="18"/>
          <w14:ligatures w14:val="none"/>
        </w:rPr>
        <w:t xml:space="preserve">Annu Rev </w:t>
      </w:r>
      <w:proofErr w:type="spellStart"/>
      <w:r w:rsidRPr="003D5A75">
        <w:rPr>
          <w:rFonts w:eastAsia="Times New Roman" w:cstheme="minorHAnsi"/>
          <w:i/>
          <w:iCs/>
          <w:kern w:val="0"/>
          <w:sz w:val="18"/>
          <w:szCs w:val="18"/>
          <w14:ligatures w14:val="none"/>
        </w:rPr>
        <w:t>Biophys</w:t>
      </w:r>
      <w:proofErr w:type="spellEnd"/>
      <w:r w:rsidRPr="003D5A75">
        <w:rPr>
          <w:rFonts w:eastAsia="Times New Roman" w:cstheme="minorHAnsi"/>
          <w:kern w:val="0"/>
          <w:sz w:val="18"/>
          <w:szCs w:val="18"/>
          <w14:ligatures w14:val="none"/>
        </w:rPr>
        <w:t xml:space="preserve">. </w:t>
      </w:r>
      <w:proofErr w:type="gramStart"/>
      <w:r w:rsidRPr="003D5A75">
        <w:rPr>
          <w:rFonts w:eastAsia="Times New Roman" w:cstheme="minorHAnsi"/>
          <w:kern w:val="0"/>
          <w:sz w:val="18"/>
          <w:szCs w:val="18"/>
          <w14:ligatures w14:val="none"/>
        </w:rPr>
        <w:t>2010;39:407</w:t>
      </w:r>
      <w:proofErr w:type="gramEnd"/>
      <w:r w:rsidRPr="003D5A75">
        <w:rPr>
          <w:rFonts w:eastAsia="Times New Roman" w:cstheme="minorHAnsi"/>
          <w:kern w:val="0"/>
          <w:sz w:val="18"/>
          <w:szCs w:val="18"/>
          <w14:ligatures w14:val="none"/>
        </w:rPr>
        <w:t>-27.</w:t>
      </w:r>
    </w:p>
    <w:p w14:paraId="414C9228" w14:textId="77777777" w:rsidR="003D5A75" w:rsidRPr="003D5A75" w:rsidRDefault="003D5A75" w:rsidP="003D5A75">
      <w:pPr>
        <w:numPr>
          <w:ilvl w:val="0"/>
          <w:numId w:val="1"/>
        </w:numPr>
        <w:shd w:val="clear" w:color="auto" w:fill="FFFFFF"/>
        <w:spacing w:before="100" w:beforeAutospacing="1" w:after="100" w:afterAutospacing="1" w:line="240" w:lineRule="auto"/>
        <w:ind w:left="1080"/>
        <w:rPr>
          <w:rFonts w:eastAsia="Times New Roman" w:cstheme="minorHAnsi"/>
          <w:kern w:val="0"/>
          <w:sz w:val="18"/>
          <w:szCs w:val="18"/>
          <w14:ligatures w14:val="none"/>
        </w:rPr>
      </w:pPr>
      <w:r w:rsidRPr="003D5A75">
        <w:rPr>
          <w:rFonts w:eastAsia="Times New Roman" w:cstheme="minorHAnsi"/>
          <w:i/>
          <w:iCs/>
          <w:kern w:val="0"/>
          <w:sz w:val="18"/>
          <w:szCs w:val="18"/>
          <w14:ligatures w14:val="none"/>
        </w:rPr>
        <w:t xml:space="preserve">J Clin </w:t>
      </w:r>
      <w:proofErr w:type="spellStart"/>
      <w:r w:rsidRPr="003D5A75">
        <w:rPr>
          <w:rFonts w:eastAsia="Times New Roman" w:cstheme="minorHAnsi"/>
          <w:i/>
          <w:iCs/>
          <w:kern w:val="0"/>
          <w:sz w:val="18"/>
          <w:szCs w:val="18"/>
          <w14:ligatures w14:val="none"/>
        </w:rPr>
        <w:t>Biochem</w:t>
      </w:r>
      <w:proofErr w:type="spellEnd"/>
      <w:r w:rsidRPr="003D5A75">
        <w:rPr>
          <w:rFonts w:eastAsia="Times New Roman" w:cstheme="minorHAnsi"/>
          <w:i/>
          <w:iCs/>
          <w:kern w:val="0"/>
          <w:sz w:val="18"/>
          <w:szCs w:val="18"/>
          <w14:ligatures w14:val="none"/>
        </w:rPr>
        <w:t xml:space="preserve"> </w:t>
      </w:r>
      <w:proofErr w:type="spellStart"/>
      <w:r w:rsidRPr="003D5A75">
        <w:rPr>
          <w:rFonts w:eastAsia="Times New Roman" w:cstheme="minorHAnsi"/>
          <w:i/>
          <w:iCs/>
          <w:kern w:val="0"/>
          <w:sz w:val="18"/>
          <w:szCs w:val="18"/>
          <w14:ligatures w14:val="none"/>
        </w:rPr>
        <w:t>Nutr</w:t>
      </w:r>
      <w:proofErr w:type="spellEnd"/>
      <w:r w:rsidRPr="003D5A75">
        <w:rPr>
          <w:rFonts w:eastAsia="Times New Roman" w:cstheme="minorHAnsi"/>
          <w:kern w:val="0"/>
          <w:sz w:val="18"/>
          <w:szCs w:val="18"/>
          <w14:ligatures w14:val="none"/>
        </w:rPr>
        <w:t>. 2010;47(3):246-55.</w:t>
      </w:r>
    </w:p>
    <w:p w14:paraId="318FDA5B" w14:textId="77777777" w:rsidR="003D5A75" w:rsidRPr="003D5A75" w:rsidRDefault="003D5A75" w:rsidP="003D5A75">
      <w:pPr>
        <w:numPr>
          <w:ilvl w:val="0"/>
          <w:numId w:val="1"/>
        </w:numPr>
        <w:shd w:val="clear" w:color="auto" w:fill="FFFFFF"/>
        <w:spacing w:before="100" w:beforeAutospacing="1" w:after="100" w:afterAutospacing="1" w:line="240" w:lineRule="auto"/>
        <w:ind w:left="1080"/>
        <w:rPr>
          <w:rFonts w:eastAsia="Times New Roman" w:cstheme="minorHAnsi"/>
          <w:kern w:val="0"/>
          <w:sz w:val="18"/>
          <w:szCs w:val="18"/>
          <w14:ligatures w14:val="none"/>
        </w:rPr>
      </w:pPr>
      <w:r w:rsidRPr="003D5A75">
        <w:rPr>
          <w:rFonts w:eastAsia="Times New Roman" w:cstheme="minorHAnsi"/>
          <w:i/>
          <w:iCs/>
          <w:kern w:val="0"/>
          <w:sz w:val="18"/>
          <w:szCs w:val="18"/>
          <w14:ligatures w14:val="none"/>
        </w:rPr>
        <w:t>Nutrients</w:t>
      </w:r>
      <w:r w:rsidRPr="003D5A75">
        <w:rPr>
          <w:rFonts w:eastAsia="Times New Roman" w:cstheme="minorHAnsi"/>
          <w:kern w:val="0"/>
          <w:sz w:val="18"/>
          <w:szCs w:val="18"/>
          <w14:ligatures w14:val="none"/>
        </w:rPr>
        <w:t> 2024,16,1293</w:t>
      </w:r>
    </w:p>
    <w:p w14:paraId="76B89605" w14:textId="77777777" w:rsidR="003D5A75" w:rsidRPr="003D5A75" w:rsidRDefault="003D5A75" w:rsidP="003D5A75">
      <w:pPr>
        <w:numPr>
          <w:ilvl w:val="0"/>
          <w:numId w:val="1"/>
        </w:numPr>
        <w:shd w:val="clear" w:color="auto" w:fill="FFFFFF"/>
        <w:spacing w:before="100" w:beforeAutospacing="1" w:after="100" w:afterAutospacing="1" w:line="240" w:lineRule="auto"/>
        <w:ind w:left="1080"/>
        <w:rPr>
          <w:rFonts w:eastAsia="Times New Roman" w:cstheme="minorHAnsi"/>
          <w:kern w:val="0"/>
          <w:sz w:val="18"/>
          <w:szCs w:val="18"/>
          <w14:ligatures w14:val="none"/>
        </w:rPr>
      </w:pPr>
      <w:r w:rsidRPr="003D5A75">
        <w:rPr>
          <w:rFonts w:eastAsia="Times New Roman" w:cstheme="minorHAnsi"/>
          <w:i/>
          <w:iCs/>
          <w:kern w:val="0"/>
          <w:sz w:val="18"/>
          <w:szCs w:val="18"/>
          <w14:ligatures w14:val="none"/>
        </w:rPr>
        <w:t>Ann Med Health Sci Res</w:t>
      </w:r>
      <w:r w:rsidRPr="003D5A75">
        <w:rPr>
          <w:rFonts w:eastAsia="Times New Roman" w:cstheme="minorHAnsi"/>
          <w:kern w:val="0"/>
          <w:sz w:val="18"/>
          <w:szCs w:val="18"/>
          <w14:ligatures w14:val="none"/>
        </w:rPr>
        <w:t>. 2014;4(4):654-61.</w:t>
      </w:r>
    </w:p>
    <w:p w14:paraId="7059B428" w14:textId="22DB8A3C" w:rsidR="003D5A75" w:rsidRPr="003D5A75" w:rsidRDefault="003D5A75" w:rsidP="003D5A75">
      <w:pPr>
        <w:shd w:val="clear" w:color="auto" w:fill="FFFFFF"/>
        <w:spacing w:after="100" w:afterAutospacing="1" w:line="240" w:lineRule="auto"/>
        <w:rPr>
          <w:rFonts w:eastAsia="Times New Roman" w:cstheme="minorHAnsi"/>
          <w:color w:val="444444"/>
          <w:kern w:val="0"/>
          <w:sz w:val="24"/>
          <w:szCs w:val="24"/>
          <w14:ligatures w14:val="none"/>
        </w:rPr>
      </w:pPr>
      <w:r w:rsidRPr="003D5A75">
        <w:rPr>
          <w:rFonts w:eastAsia="Times New Roman" w:cstheme="minorHAnsi"/>
          <w:b/>
          <w:bCs/>
          <w:color w:val="444444"/>
          <w:kern w:val="0"/>
          <w:sz w:val="24"/>
          <w:szCs w:val="24"/>
          <w14:ligatures w14:val="none"/>
        </w:rPr>
        <w:t>Lutein and zeaxanthin carotenoids</w:t>
      </w:r>
      <w:r w:rsidRPr="003D5A75">
        <w:rPr>
          <w:rFonts w:eastAsia="Times New Roman" w:cstheme="minorHAnsi"/>
          <w:b/>
          <w:bCs/>
          <w:color w:val="444444"/>
          <w:kern w:val="0"/>
          <w:sz w:val="24"/>
          <w:szCs w:val="24"/>
          <w14:ligatures w14:val="none"/>
        </w:rPr>
        <w:t xml:space="preserve">: </w:t>
      </w:r>
      <w:r w:rsidRPr="003D5A75">
        <w:rPr>
          <w:rFonts w:eastAsia="Times New Roman" w:cstheme="minorHAnsi"/>
          <w:color w:val="444444"/>
          <w:kern w:val="0"/>
          <w:sz w:val="24"/>
          <w:szCs w:val="24"/>
          <w14:ligatures w14:val="none"/>
        </w:rPr>
        <w:t>Because they are heavily concentrated in macular pigment, lutein and zeaxanthin are associated with eye health—but they are also found at high levels in the brain. This is significant because clinical studies indicate that these carotenoids enhance brain function, encouraging improved composite and verbal memory, reasoning skills, processing speed, and sustained attention scores.</w:t>
      </w:r>
      <w:r w:rsidRPr="003D5A75">
        <w:rPr>
          <w:rFonts w:eastAsia="Times New Roman" w:cstheme="minorHAnsi"/>
          <w:color w:val="444444"/>
          <w:kern w:val="0"/>
          <w:sz w:val="24"/>
          <w:szCs w:val="24"/>
          <w:vertAlign w:val="superscript"/>
          <w14:ligatures w14:val="none"/>
        </w:rPr>
        <w:t>1</w:t>
      </w:r>
      <w:r w:rsidRPr="003D5A75">
        <w:rPr>
          <w:rFonts w:eastAsia="Times New Roman" w:cstheme="minorHAnsi"/>
          <w:color w:val="444444"/>
          <w:kern w:val="0"/>
          <w:sz w:val="24"/>
          <w:szCs w:val="24"/>
          <w:vertAlign w:val="superscript"/>
          <w14:ligatures w14:val="none"/>
        </w:rPr>
        <w:t xml:space="preserve"> </w:t>
      </w:r>
      <w:r w:rsidRPr="003D5A75">
        <w:rPr>
          <w:rFonts w:eastAsia="Times New Roman" w:cstheme="minorHAnsi"/>
          <w:color w:val="444444"/>
          <w:kern w:val="0"/>
          <w:sz w:val="24"/>
          <w:szCs w:val="24"/>
          <w14:ligatures w14:val="none"/>
        </w:rPr>
        <w:t>T</w:t>
      </w:r>
      <w:r w:rsidRPr="003D5A75">
        <w:rPr>
          <w:rFonts w:eastAsia="Times New Roman" w:cstheme="minorHAnsi"/>
          <w:color w:val="444444"/>
          <w:kern w:val="0"/>
          <w:sz w:val="24"/>
          <w:szCs w:val="24"/>
          <w14:ligatures w14:val="none"/>
        </w:rPr>
        <w:t>hese carotenoid nutrients for six months showed improved cognitive performance, as well as healthy levels of brain-derived neurotrophic factor (BDNF).</w:t>
      </w:r>
      <w:r w:rsidRPr="003D5A75">
        <w:rPr>
          <w:rFonts w:eastAsia="Times New Roman" w:cstheme="minorHAnsi"/>
          <w:color w:val="444444"/>
          <w:kern w:val="0"/>
          <w:sz w:val="24"/>
          <w:szCs w:val="24"/>
          <w:vertAlign w:val="superscript"/>
          <w14:ligatures w14:val="none"/>
        </w:rPr>
        <w:t>2</w:t>
      </w:r>
      <w:r w:rsidRPr="003D5A75">
        <w:rPr>
          <w:rFonts w:eastAsia="Times New Roman" w:cstheme="minorHAnsi"/>
          <w:color w:val="444444"/>
          <w:kern w:val="0"/>
          <w:sz w:val="24"/>
          <w:szCs w:val="24"/>
          <w14:ligatures w14:val="none"/>
        </w:rPr>
        <w:t> BDNF is required neuronal plasticity: your brain’s ability to learn by growing new connections and reorganizing old ones—a process which is essential to healthy learning and memory formation.</w:t>
      </w:r>
      <w:r w:rsidRPr="003D5A75">
        <w:rPr>
          <w:rFonts w:eastAsia="Times New Roman" w:cstheme="minorHAnsi"/>
          <w:color w:val="444444"/>
          <w:kern w:val="0"/>
          <w:sz w:val="24"/>
          <w:szCs w:val="24"/>
          <w:vertAlign w:val="superscript"/>
          <w14:ligatures w14:val="none"/>
        </w:rPr>
        <w:t>3</w:t>
      </w:r>
    </w:p>
    <w:p w14:paraId="7EDC1AA0" w14:textId="77777777" w:rsidR="003D5A75" w:rsidRPr="003D5A75" w:rsidRDefault="003D5A75" w:rsidP="003D5A75">
      <w:pPr>
        <w:shd w:val="clear" w:color="auto" w:fill="FFFFFF"/>
        <w:spacing w:after="100" w:afterAutospacing="1" w:line="240" w:lineRule="auto"/>
        <w:rPr>
          <w:rFonts w:eastAsia="Times New Roman" w:cstheme="minorHAnsi"/>
          <w:color w:val="444444"/>
          <w:kern w:val="0"/>
          <w:sz w:val="24"/>
          <w:szCs w:val="24"/>
          <w14:ligatures w14:val="none"/>
        </w:rPr>
      </w:pPr>
      <w:proofErr w:type="spellStart"/>
      <w:r w:rsidRPr="003D5A75">
        <w:rPr>
          <w:rFonts w:eastAsia="Times New Roman" w:cstheme="minorHAnsi"/>
          <w:b/>
          <w:bCs/>
          <w:color w:val="444444"/>
          <w:kern w:val="0"/>
          <w:sz w:val="24"/>
          <w:szCs w:val="24"/>
          <w14:ligatures w14:val="none"/>
        </w:rPr>
        <w:t>Gotu</w:t>
      </w:r>
      <w:proofErr w:type="spellEnd"/>
      <w:r w:rsidRPr="003D5A75">
        <w:rPr>
          <w:rFonts w:eastAsia="Times New Roman" w:cstheme="minorHAnsi"/>
          <w:b/>
          <w:bCs/>
          <w:color w:val="444444"/>
          <w:kern w:val="0"/>
          <w:sz w:val="24"/>
          <w:szCs w:val="24"/>
          <w14:ligatures w14:val="none"/>
        </w:rPr>
        <w:t xml:space="preserve"> kola</w:t>
      </w:r>
      <w:r w:rsidRPr="003D5A75">
        <w:rPr>
          <w:rFonts w:eastAsia="Times New Roman" w:cstheme="minorHAnsi"/>
          <w:color w:val="444444"/>
          <w:kern w:val="0"/>
          <w:sz w:val="24"/>
          <w:szCs w:val="24"/>
          <w14:ligatures w14:val="none"/>
        </w:rPr>
        <w:t xml:space="preserve"> is a perennial herb that has been the subject of extensive research.</w:t>
      </w:r>
    </w:p>
    <w:p w14:paraId="5CF6788A" w14:textId="03A855C5" w:rsidR="003D5A75" w:rsidRPr="003D5A75" w:rsidRDefault="003D5A75" w:rsidP="003D5A75">
      <w:pPr>
        <w:shd w:val="clear" w:color="auto" w:fill="FFFFFF"/>
        <w:spacing w:after="100" w:afterAutospacing="1" w:line="240" w:lineRule="auto"/>
        <w:rPr>
          <w:rFonts w:eastAsia="Times New Roman" w:cstheme="minorHAnsi"/>
          <w:color w:val="444444"/>
          <w:kern w:val="0"/>
          <w:sz w:val="24"/>
          <w:szCs w:val="24"/>
          <w14:ligatures w14:val="none"/>
        </w:rPr>
      </w:pPr>
      <w:r w:rsidRPr="003D5A75">
        <w:rPr>
          <w:rFonts w:eastAsia="Times New Roman" w:cstheme="minorHAnsi"/>
          <w:color w:val="444444"/>
          <w:kern w:val="0"/>
          <w:sz w:val="24"/>
          <w:szCs w:val="24"/>
          <w14:ligatures w14:val="none"/>
        </w:rPr>
        <w:t xml:space="preserve">A two-month study had healthy older adults take different doses of a </w:t>
      </w:r>
      <w:proofErr w:type="spellStart"/>
      <w:r w:rsidRPr="003D5A75">
        <w:rPr>
          <w:rFonts w:eastAsia="Times New Roman" w:cstheme="minorHAnsi"/>
          <w:color w:val="444444"/>
          <w:kern w:val="0"/>
          <w:sz w:val="24"/>
          <w:szCs w:val="24"/>
          <w14:ligatures w14:val="none"/>
        </w:rPr>
        <w:t>gotu</w:t>
      </w:r>
      <w:proofErr w:type="spellEnd"/>
      <w:r w:rsidRPr="003D5A75">
        <w:rPr>
          <w:rFonts w:eastAsia="Times New Roman" w:cstheme="minorHAnsi"/>
          <w:color w:val="444444"/>
          <w:kern w:val="0"/>
          <w:sz w:val="24"/>
          <w:szCs w:val="24"/>
          <w14:ligatures w14:val="none"/>
        </w:rPr>
        <w:t xml:space="preserve"> kola extract standardized to the active compound </w:t>
      </w:r>
      <w:proofErr w:type="spellStart"/>
      <w:r w:rsidRPr="003D5A75">
        <w:rPr>
          <w:rFonts w:eastAsia="Times New Roman" w:cstheme="minorHAnsi"/>
          <w:color w:val="444444"/>
          <w:kern w:val="0"/>
          <w:sz w:val="24"/>
          <w:szCs w:val="24"/>
          <w14:ligatures w14:val="none"/>
        </w:rPr>
        <w:t>asiaticoside</w:t>
      </w:r>
      <w:proofErr w:type="spellEnd"/>
      <w:r w:rsidRPr="003D5A75">
        <w:rPr>
          <w:rFonts w:eastAsia="Times New Roman" w:cstheme="minorHAnsi"/>
          <w:color w:val="444444"/>
          <w:kern w:val="0"/>
          <w:sz w:val="24"/>
          <w:szCs w:val="24"/>
          <w14:ligatures w14:val="none"/>
        </w:rPr>
        <w:t xml:space="preserve"> or a placebo</w:t>
      </w:r>
      <w:r w:rsidRPr="003D5A75">
        <w:rPr>
          <w:rFonts w:eastAsia="Times New Roman" w:cstheme="minorHAnsi"/>
          <w:color w:val="444444"/>
          <w:kern w:val="0"/>
          <w:sz w:val="24"/>
          <w:szCs w:val="24"/>
          <w14:ligatures w14:val="none"/>
        </w:rPr>
        <w:t>, s</w:t>
      </w:r>
      <w:r w:rsidRPr="003D5A75">
        <w:rPr>
          <w:rFonts w:eastAsia="Times New Roman" w:cstheme="minorHAnsi"/>
          <w:color w:val="444444"/>
          <w:kern w:val="0"/>
          <w:sz w:val="24"/>
          <w:szCs w:val="24"/>
          <w14:ligatures w14:val="none"/>
        </w:rPr>
        <w:t>howed significant improvements in reaction time and accuracy of their working memory and subjects also reported feeling calmer.</w:t>
      </w:r>
      <w:r w:rsidRPr="003D5A75">
        <w:rPr>
          <w:rFonts w:eastAsia="Times New Roman" w:cstheme="minorHAnsi"/>
          <w:color w:val="444444"/>
          <w:kern w:val="0"/>
          <w:sz w:val="24"/>
          <w:szCs w:val="24"/>
          <w:vertAlign w:val="superscript"/>
          <w14:ligatures w14:val="none"/>
        </w:rPr>
        <w:t>4</w:t>
      </w:r>
    </w:p>
    <w:p w14:paraId="6ED0CABE" w14:textId="4E8A8C62" w:rsidR="003D5A75" w:rsidRPr="003D5A75" w:rsidRDefault="003D5A75" w:rsidP="003D5A75">
      <w:pPr>
        <w:shd w:val="clear" w:color="auto" w:fill="FFFFFF"/>
        <w:spacing w:after="100" w:afterAutospacing="1" w:line="240" w:lineRule="auto"/>
        <w:rPr>
          <w:rFonts w:eastAsia="Times New Roman" w:cstheme="minorHAnsi"/>
          <w:color w:val="444444"/>
          <w:kern w:val="0"/>
          <w:sz w:val="24"/>
          <w:szCs w:val="24"/>
          <w14:ligatures w14:val="none"/>
        </w:rPr>
      </w:pPr>
      <w:r w:rsidRPr="003D5A75">
        <w:rPr>
          <w:rFonts w:eastAsia="Times New Roman" w:cstheme="minorHAnsi"/>
          <w:b/>
          <w:bCs/>
          <w:i/>
          <w:iCs/>
          <w:color w:val="444444"/>
          <w:kern w:val="0"/>
          <w:sz w:val="24"/>
          <w:szCs w:val="24"/>
          <w14:ligatures w14:val="none"/>
        </w:rPr>
        <w:t xml:space="preserve">Bacopa </w:t>
      </w:r>
      <w:proofErr w:type="spellStart"/>
      <w:r w:rsidRPr="003D5A75">
        <w:rPr>
          <w:rFonts w:eastAsia="Times New Roman" w:cstheme="minorHAnsi"/>
          <w:b/>
          <w:bCs/>
          <w:i/>
          <w:iCs/>
          <w:color w:val="444444"/>
          <w:kern w:val="0"/>
          <w:sz w:val="24"/>
          <w:szCs w:val="24"/>
          <w14:ligatures w14:val="none"/>
        </w:rPr>
        <w:t>monnieri</w:t>
      </w:r>
      <w:proofErr w:type="spellEnd"/>
      <w:r w:rsidRPr="003D5A75">
        <w:rPr>
          <w:rFonts w:eastAsia="Times New Roman" w:cstheme="minorHAnsi"/>
          <w:b/>
          <w:bCs/>
          <w:color w:val="444444"/>
          <w:kern w:val="0"/>
          <w:sz w:val="24"/>
          <w:szCs w:val="24"/>
          <w14:ligatures w14:val="none"/>
        </w:rPr>
        <w:t> extract</w:t>
      </w:r>
      <w:r w:rsidRPr="003D5A75">
        <w:rPr>
          <w:rFonts w:eastAsia="Times New Roman" w:cstheme="minorHAnsi"/>
          <w:color w:val="444444"/>
          <w:kern w:val="0"/>
          <w:sz w:val="24"/>
          <w:szCs w:val="24"/>
          <w14:ligatures w14:val="none"/>
        </w:rPr>
        <w:t xml:space="preserve"> is a </w:t>
      </w:r>
      <w:r w:rsidRPr="003D5A75">
        <w:rPr>
          <w:rFonts w:eastAsia="Times New Roman" w:cstheme="minorHAnsi"/>
          <w:i/>
          <w:iCs/>
          <w:color w:val="444444"/>
          <w:kern w:val="0"/>
          <w:sz w:val="24"/>
          <w:szCs w:val="24"/>
          <w14:ligatures w14:val="none"/>
        </w:rPr>
        <w:t>very</w:t>
      </w:r>
      <w:r w:rsidRPr="003D5A75">
        <w:rPr>
          <w:rFonts w:eastAsia="Times New Roman" w:cstheme="minorHAnsi"/>
          <w:color w:val="444444"/>
          <w:kern w:val="0"/>
          <w:sz w:val="24"/>
          <w:szCs w:val="24"/>
          <w14:ligatures w14:val="none"/>
        </w:rPr>
        <w:t> popular study aid, and is especially touted for supporting memory</w:t>
      </w:r>
      <w:r w:rsidRPr="003D5A75">
        <w:rPr>
          <w:rFonts w:eastAsia="Times New Roman" w:cstheme="minorHAnsi"/>
          <w:color w:val="444444"/>
          <w:kern w:val="0"/>
          <w:sz w:val="24"/>
          <w:szCs w:val="24"/>
          <w14:ligatures w14:val="none"/>
        </w:rPr>
        <w:t>,</w:t>
      </w:r>
      <w:r w:rsidRPr="003D5A75">
        <w:rPr>
          <w:rFonts w:eastAsia="Times New Roman" w:cstheme="minorHAnsi"/>
          <w:color w:val="444444"/>
          <w:kern w:val="0"/>
          <w:sz w:val="24"/>
          <w:szCs w:val="24"/>
          <w14:ligatures w14:val="none"/>
        </w:rPr>
        <w:t xml:space="preserve"> studies indicate that bacopa extracts can improve cognition and attention.</w:t>
      </w:r>
      <w:r w:rsidRPr="003D5A75">
        <w:rPr>
          <w:rFonts w:eastAsia="Times New Roman" w:cstheme="minorHAnsi"/>
          <w:color w:val="444444"/>
          <w:kern w:val="0"/>
          <w:sz w:val="24"/>
          <w:szCs w:val="24"/>
          <w:vertAlign w:val="superscript"/>
          <w14:ligatures w14:val="none"/>
        </w:rPr>
        <w:t>5</w:t>
      </w:r>
    </w:p>
    <w:p w14:paraId="5F25692B" w14:textId="77777777" w:rsidR="00384C86" w:rsidRPr="00384C86" w:rsidRDefault="00384C86" w:rsidP="00384C86">
      <w:pPr>
        <w:numPr>
          <w:ilvl w:val="0"/>
          <w:numId w:val="2"/>
        </w:numPr>
        <w:shd w:val="clear" w:color="auto" w:fill="FFFFFF"/>
        <w:spacing w:before="100" w:beforeAutospacing="1" w:after="100" w:afterAutospacing="1" w:line="240" w:lineRule="auto"/>
        <w:ind w:left="1080"/>
        <w:rPr>
          <w:rFonts w:eastAsia="Times New Roman" w:cstheme="minorHAnsi"/>
          <w:kern w:val="0"/>
          <w:sz w:val="18"/>
          <w:szCs w:val="18"/>
          <w14:ligatures w14:val="none"/>
        </w:rPr>
      </w:pPr>
      <w:r w:rsidRPr="00384C86">
        <w:rPr>
          <w:rFonts w:eastAsia="Times New Roman" w:cstheme="minorHAnsi"/>
          <w:i/>
          <w:iCs/>
          <w:kern w:val="0"/>
          <w:sz w:val="18"/>
          <w:szCs w:val="18"/>
          <w14:ligatures w14:val="none"/>
        </w:rPr>
        <w:t>Nutrients</w:t>
      </w:r>
      <w:r w:rsidRPr="00384C86">
        <w:rPr>
          <w:rFonts w:eastAsia="Times New Roman" w:cstheme="minorHAnsi"/>
          <w:kern w:val="0"/>
          <w:sz w:val="18"/>
          <w:szCs w:val="18"/>
          <w14:ligatures w14:val="none"/>
        </w:rPr>
        <w:t>. 2017 Nov 14;9(11):1246</w:t>
      </w:r>
    </w:p>
    <w:p w14:paraId="39408464" w14:textId="77777777" w:rsidR="00384C86" w:rsidRPr="00384C86" w:rsidRDefault="00384C86" w:rsidP="00384C86">
      <w:pPr>
        <w:numPr>
          <w:ilvl w:val="0"/>
          <w:numId w:val="2"/>
        </w:numPr>
        <w:shd w:val="clear" w:color="auto" w:fill="FFFFFF"/>
        <w:spacing w:before="100" w:beforeAutospacing="1" w:after="100" w:afterAutospacing="1" w:line="240" w:lineRule="auto"/>
        <w:ind w:left="1080"/>
        <w:rPr>
          <w:rFonts w:eastAsia="Times New Roman" w:cstheme="minorHAnsi"/>
          <w:kern w:val="0"/>
          <w:sz w:val="18"/>
          <w:szCs w:val="18"/>
          <w14:ligatures w14:val="none"/>
        </w:rPr>
      </w:pPr>
      <w:proofErr w:type="spellStart"/>
      <w:r w:rsidRPr="00384C86">
        <w:rPr>
          <w:rFonts w:eastAsia="Times New Roman" w:cstheme="minorHAnsi"/>
          <w:i/>
          <w:iCs/>
          <w:kern w:val="0"/>
          <w:sz w:val="18"/>
          <w:szCs w:val="18"/>
          <w14:ligatures w14:val="none"/>
        </w:rPr>
        <w:t>Physiol</w:t>
      </w:r>
      <w:proofErr w:type="spellEnd"/>
      <w:r w:rsidRPr="00384C86">
        <w:rPr>
          <w:rFonts w:eastAsia="Times New Roman" w:cstheme="minorHAnsi"/>
          <w:i/>
          <w:iCs/>
          <w:kern w:val="0"/>
          <w:sz w:val="18"/>
          <w:szCs w:val="18"/>
          <w14:ligatures w14:val="none"/>
        </w:rPr>
        <w:t xml:space="preserve"> Behav</w:t>
      </w:r>
      <w:r w:rsidRPr="00384C86">
        <w:rPr>
          <w:rFonts w:eastAsia="Times New Roman" w:cstheme="minorHAnsi"/>
          <w:kern w:val="0"/>
          <w:sz w:val="18"/>
          <w:szCs w:val="18"/>
          <w14:ligatures w14:val="none"/>
        </w:rPr>
        <w:t xml:space="preserve">. </w:t>
      </w:r>
      <w:proofErr w:type="gramStart"/>
      <w:r w:rsidRPr="00384C86">
        <w:rPr>
          <w:rFonts w:eastAsia="Times New Roman" w:cstheme="minorHAnsi"/>
          <w:kern w:val="0"/>
          <w:sz w:val="18"/>
          <w:szCs w:val="18"/>
          <w14:ligatures w14:val="none"/>
        </w:rPr>
        <w:t>2019;211:112650</w:t>
      </w:r>
      <w:proofErr w:type="gramEnd"/>
      <w:r w:rsidRPr="00384C86">
        <w:rPr>
          <w:rFonts w:eastAsia="Times New Roman" w:cstheme="minorHAnsi"/>
          <w:kern w:val="0"/>
          <w:sz w:val="18"/>
          <w:szCs w:val="18"/>
          <w14:ligatures w14:val="none"/>
        </w:rPr>
        <w:t>.</w:t>
      </w:r>
    </w:p>
    <w:p w14:paraId="7B23CE23" w14:textId="77777777" w:rsidR="00384C86" w:rsidRPr="00384C86" w:rsidRDefault="00384C86" w:rsidP="00384C86">
      <w:pPr>
        <w:numPr>
          <w:ilvl w:val="0"/>
          <w:numId w:val="2"/>
        </w:numPr>
        <w:shd w:val="clear" w:color="auto" w:fill="FFFFFF"/>
        <w:spacing w:before="100" w:beforeAutospacing="1" w:after="100" w:afterAutospacing="1" w:line="240" w:lineRule="auto"/>
        <w:ind w:left="1080"/>
        <w:rPr>
          <w:rFonts w:eastAsia="Times New Roman" w:cstheme="minorHAnsi"/>
          <w:kern w:val="0"/>
          <w:sz w:val="18"/>
          <w:szCs w:val="18"/>
          <w14:ligatures w14:val="none"/>
        </w:rPr>
      </w:pPr>
      <w:r w:rsidRPr="00384C86">
        <w:rPr>
          <w:rFonts w:eastAsia="Times New Roman" w:cstheme="minorHAnsi"/>
          <w:i/>
          <w:iCs/>
          <w:kern w:val="0"/>
          <w:sz w:val="18"/>
          <w:szCs w:val="18"/>
          <w14:ligatures w14:val="none"/>
        </w:rPr>
        <w:t xml:space="preserve">Front Cell </w:t>
      </w:r>
      <w:proofErr w:type="spellStart"/>
      <w:r w:rsidRPr="00384C86">
        <w:rPr>
          <w:rFonts w:eastAsia="Times New Roman" w:cstheme="minorHAnsi"/>
          <w:i/>
          <w:iCs/>
          <w:kern w:val="0"/>
          <w:sz w:val="18"/>
          <w:szCs w:val="18"/>
          <w14:ligatures w14:val="none"/>
        </w:rPr>
        <w:t>Neurosci</w:t>
      </w:r>
      <w:proofErr w:type="spellEnd"/>
      <w:r w:rsidRPr="00384C86">
        <w:rPr>
          <w:rFonts w:eastAsia="Times New Roman" w:cstheme="minorHAnsi"/>
          <w:kern w:val="0"/>
          <w:sz w:val="18"/>
          <w:szCs w:val="18"/>
          <w14:ligatures w14:val="none"/>
        </w:rPr>
        <w:t xml:space="preserve">. </w:t>
      </w:r>
      <w:proofErr w:type="gramStart"/>
      <w:r w:rsidRPr="00384C86">
        <w:rPr>
          <w:rFonts w:eastAsia="Times New Roman" w:cstheme="minorHAnsi"/>
          <w:kern w:val="0"/>
          <w:sz w:val="18"/>
          <w:szCs w:val="18"/>
          <w14:ligatures w14:val="none"/>
        </w:rPr>
        <w:t>2019;13:363</w:t>
      </w:r>
      <w:proofErr w:type="gramEnd"/>
      <w:r w:rsidRPr="00384C86">
        <w:rPr>
          <w:rFonts w:eastAsia="Times New Roman" w:cstheme="minorHAnsi"/>
          <w:kern w:val="0"/>
          <w:sz w:val="18"/>
          <w:szCs w:val="18"/>
          <w14:ligatures w14:val="none"/>
        </w:rPr>
        <w:t>.</w:t>
      </w:r>
    </w:p>
    <w:p w14:paraId="27A7FE71" w14:textId="77777777" w:rsidR="00384C86" w:rsidRPr="00384C86" w:rsidRDefault="00384C86" w:rsidP="00384C86">
      <w:pPr>
        <w:numPr>
          <w:ilvl w:val="0"/>
          <w:numId w:val="2"/>
        </w:numPr>
        <w:shd w:val="clear" w:color="auto" w:fill="FFFFFF"/>
        <w:spacing w:before="100" w:beforeAutospacing="1" w:after="100" w:afterAutospacing="1" w:line="240" w:lineRule="auto"/>
        <w:ind w:left="1080"/>
        <w:rPr>
          <w:rFonts w:eastAsia="Times New Roman" w:cstheme="minorHAnsi"/>
          <w:kern w:val="0"/>
          <w:sz w:val="18"/>
          <w:szCs w:val="18"/>
          <w14:ligatures w14:val="none"/>
        </w:rPr>
      </w:pPr>
      <w:r w:rsidRPr="00384C86">
        <w:rPr>
          <w:rFonts w:eastAsia="Times New Roman" w:cstheme="minorHAnsi"/>
          <w:i/>
          <w:iCs/>
          <w:kern w:val="0"/>
          <w:sz w:val="18"/>
          <w:szCs w:val="18"/>
          <w14:ligatures w14:val="none"/>
        </w:rPr>
        <w:t xml:space="preserve">J </w:t>
      </w:r>
      <w:proofErr w:type="spellStart"/>
      <w:r w:rsidRPr="00384C86">
        <w:rPr>
          <w:rFonts w:eastAsia="Times New Roman" w:cstheme="minorHAnsi"/>
          <w:i/>
          <w:iCs/>
          <w:kern w:val="0"/>
          <w:sz w:val="18"/>
          <w:szCs w:val="18"/>
          <w14:ligatures w14:val="none"/>
        </w:rPr>
        <w:t>Ethnopharmacol</w:t>
      </w:r>
      <w:proofErr w:type="spellEnd"/>
      <w:r w:rsidRPr="00384C86">
        <w:rPr>
          <w:rFonts w:eastAsia="Times New Roman" w:cstheme="minorHAnsi"/>
          <w:kern w:val="0"/>
          <w:sz w:val="18"/>
          <w:szCs w:val="18"/>
          <w14:ligatures w14:val="none"/>
        </w:rPr>
        <w:t>. 2008;116(2):325-32.</w:t>
      </w:r>
    </w:p>
    <w:p w14:paraId="72D8F3EA" w14:textId="77777777" w:rsidR="00384C86" w:rsidRPr="00384C86" w:rsidRDefault="00384C86" w:rsidP="00384C86">
      <w:pPr>
        <w:numPr>
          <w:ilvl w:val="0"/>
          <w:numId w:val="2"/>
        </w:numPr>
        <w:shd w:val="clear" w:color="auto" w:fill="FFFFFF"/>
        <w:spacing w:before="100" w:beforeAutospacing="1" w:after="100" w:afterAutospacing="1" w:line="240" w:lineRule="auto"/>
        <w:ind w:left="1080"/>
        <w:rPr>
          <w:rFonts w:eastAsia="Times New Roman" w:cstheme="minorHAnsi"/>
          <w:kern w:val="0"/>
          <w:sz w:val="18"/>
          <w:szCs w:val="18"/>
          <w14:ligatures w14:val="none"/>
        </w:rPr>
      </w:pPr>
      <w:r w:rsidRPr="00384C86">
        <w:rPr>
          <w:rFonts w:eastAsia="Times New Roman" w:cstheme="minorHAnsi"/>
          <w:i/>
          <w:iCs/>
          <w:kern w:val="0"/>
          <w:sz w:val="18"/>
          <w:szCs w:val="18"/>
          <w14:ligatures w14:val="none"/>
        </w:rPr>
        <w:lastRenderedPageBreak/>
        <w:t>Antioxidants (Basel)</w:t>
      </w:r>
      <w:r w:rsidRPr="00384C86">
        <w:rPr>
          <w:rFonts w:eastAsia="Times New Roman" w:cstheme="minorHAnsi"/>
          <w:kern w:val="0"/>
          <w:sz w:val="18"/>
          <w:szCs w:val="18"/>
          <w14:ligatures w14:val="none"/>
        </w:rPr>
        <w:t>. 2024;13(4)</w:t>
      </w:r>
    </w:p>
    <w:p w14:paraId="5931776F" w14:textId="33534DA4" w:rsidR="00384C86" w:rsidRPr="00384C86" w:rsidRDefault="00384C86" w:rsidP="00384C86">
      <w:pPr>
        <w:shd w:val="clear" w:color="auto" w:fill="FFFFFF"/>
        <w:spacing w:after="100" w:afterAutospacing="1" w:line="240" w:lineRule="auto"/>
        <w:rPr>
          <w:rFonts w:eastAsia="Times New Roman" w:cstheme="minorHAnsi"/>
          <w:color w:val="444444"/>
          <w:kern w:val="0"/>
          <w:sz w:val="24"/>
          <w:szCs w:val="24"/>
          <w14:ligatures w14:val="none"/>
        </w:rPr>
      </w:pPr>
      <w:r w:rsidRPr="00384C86">
        <w:rPr>
          <w:rFonts w:eastAsia="Times New Roman" w:cstheme="minorHAnsi"/>
          <w:b/>
          <w:bCs/>
          <w:color w:val="444444"/>
          <w:kern w:val="0"/>
          <w:sz w:val="24"/>
          <w:szCs w:val="24"/>
          <w14:ligatures w14:val="none"/>
        </w:rPr>
        <w:t>C</w:t>
      </w:r>
      <w:r w:rsidRPr="00384C86">
        <w:rPr>
          <w:rFonts w:eastAsia="Times New Roman" w:cstheme="minorHAnsi"/>
          <w:b/>
          <w:bCs/>
          <w:color w:val="444444"/>
          <w:kern w:val="0"/>
          <w:sz w:val="24"/>
          <w:szCs w:val="24"/>
          <w14:ligatures w14:val="none"/>
        </w:rPr>
        <w:t>iticoline</w:t>
      </w:r>
      <w:r w:rsidRPr="00384C86">
        <w:rPr>
          <w:rFonts w:eastAsia="Times New Roman" w:cstheme="minorHAnsi"/>
          <w:color w:val="444444"/>
          <w:kern w:val="0"/>
          <w:sz w:val="24"/>
          <w:szCs w:val="24"/>
          <w14:ligatures w14:val="none"/>
        </w:rPr>
        <w:t xml:space="preserve"> is used to produce acetylcholine, a major neurotransmitter that facilitates the transmission of impulses between neurons. The citicoline in our formula has robust research to support efficacy.</w:t>
      </w:r>
    </w:p>
    <w:p w14:paraId="59BFB3A4" w14:textId="77777777" w:rsidR="00384C86" w:rsidRPr="00384C86" w:rsidRDefault="00384C86" w:rsidP="00384C86">
      <w:pPr>
        <w:shd w:val="clear" w:color="auto" w:fill="FFFFFF"/>
        <w:spacing w:after="100" w:afterAutospacing="1" w:line="240" w:lineRule="auto"/>
        <w:rPr>
          <w:rFonts w:eastAsia="Times New Roman" w:cstheme="minorHAnsi"/>
          <w:color w:val="444444"/>
          <w:kern w:val="0"/>
          <w:sz w:val="24"/>
          <w:szCs w:val="24"/>
          <w14:ligatures w14:val="none"/>
        </w:rPr>
      </w:pPr>
      <w:r w:rsidRPr="00384C86">
        <w:rPr>
          <w:rFonts w:eastAsia="Times New Roman" w:cstheme="minorHAnsi"/>
          <w:color w:val="444444"/>
          <w:kern w:val="0"/>
          <w:sz w:val="24"/>
          <w:szCs w:val="24"/>
          <w14:ligatures w14:val="none"/>
        </w:rPr>
        <w:t>In addition to its role as an acetylcholine precursor, citicoline may help support healthy brain energy as well as phospholipid membrane components that are required to synthesize and maintain healthy cell membranes in the brain.</w:t>
      </w:r>
      <w:r w:rsidRPr="00384C86">
        <w:rPr>
          <w:rFonts w:eastAsia="Times New Roman" w:cstheme="minorHAnsi"/>
          <w:color w:val="444444"/>
          <w:kern w:val="0"/>
          <w:sz w:val="24"/>
          <w:szCs w:val="24"/>
          <w:vertAlign w:val="superscript"/>
          <w14:ligatures w14:val="none"/>
        </w:rPr>
        <w:t>1</w:t>
      </w:r>
    </w:p>
    <w:p w14:paraId="0B8FD8C8" w14:textId="77777777" w:rsidR="00384C86" w:rsidRPr="00384C86" w:rsidRDefault="00384C86" w:rsidP="00384C86">
      <w:pPr>
        <w:numPr>
          <w:ilvl w:val="0"/>
          <w:numId w:val="3"/>
        </w:numPr>
        <w:shd w:val="clear" w:color="auto" w:fill="FFFFFF"/>
        <w:spacing w:before="100" w:beforeAutospacing="1" w:after="100" w:afterAutospacing="1" w:line="240" w:lineRule="auto"/>
        <w:ind w:left="1080"/>
        <w:rPr>
          <w:rFonts w:eastAsia="Times New Roman" w:cstheme="minorHAnsi"/>
          <w:kern w:val="0"/>
          <w:sz w:val="18"/>
          <w:szCs w:val="18"/>
          <w14:ligatures w14:val="none"/>
        </w:rPr>
      </w:pPr>
      <w:r w:rsidRPr="00384C86">
        <w:rPr>
          <w:rFonts w:eastAsia="Times New Roman" w:cstheme="minorHAnsi"/>
          <w:i/>
          <w:iCs/>
          <w:kern w:val="0"/>
          <w:sz w:val="18"/>
          <w:szCs w:val="18"/>
          <w14:ligatures w14:val="none"/>
        </w:rPr>
        <w:t>NMR Biomed</w:t>
      </w:r>
      <w:r w:rsidRPr="00384C86">
        <w:rPr>
          <w:rFonts w:eastAsia="Times New Roman" w:cstheme="minorHAnsi"/>
          <w:kern w:val="0"/>
          <w:sz w:val="18"/>
          <w:szCs w:val="18"/>
          <w14:ligatures w14:val="none"/>
        </w:rPr>
        <w:t>. 2008;21(10):1066-75.</w:t>
      </w:r>
    </w:p>
    <w:p w14:paraId="2CEC49D0" w14:textId="3E1A692E" w:rsidR="00384C86" w:rsidRPr="00384C86" w:rsidRDefault="00384C86" w:rsidP="00384C86">
      <w:pPr>
        <w:shd w:val="clear" w:color="auto" w:fill="FFFFFF"/>
        <w:spacing w:after="100" w:afterAutospacing="1" w:line="240" w:lineRule="auto"/>
        <w:rPr>
          <w:rFonts w:eastAsia="Times New Roman" w:cstheme="minorHAnsi"/>
          <w:color w:val="444444"/>
          <w:kern w:val="0"/>
          <w:sz w:val="24"/>
          <w:szCs w:val="24"/>
          <w14:ligatures w14:val="none"/>
        </w:rPr>
      </w:pPr>
      <w:r w:rsidRPr="00384C86">
        <w:rPr>
          <w:rFonts w:eastAsia="Times New Roman" w:cstheme="minorHAnsi"/>
          <w:b/>
          <w:bCs/>
          <w:color w:val="444444"/>
          <w:kern w:val="0"/>
          <w:sz w:val="24"/>
          <w:szCs w:val="24"/>
          <w14:ligatures w14:val="none"/>
        </w:rPr>
        <w:t>A</w:t>
      </w:r>
      <w:r w:rsidRPr="00384C86">
        <w:rPr>
          <w:rFonts w:eastAsia="Times New Roman" w:cstheme="minorHAnsi"/>
          <w:b/>
          <w:bCs/>
          <w:color w:val="444444"/>
          <w:kern w:val="0"/>
          <w:sz w:val="24"/>
          <w:szCs w:val="24"/>
          <w14:ligatures w14:val="none"/>
        </w:rPr>
        <w:t>lpha glyceryl phosphoryl choline (Alpha-GPC)</w:t>
      </w:r>
      <w:r w:rsidRPr="00384C86">
        <w:rPr>
          <w:rFonts w:eastAsia="Times New Roman" w:cstheme="minorHAnsi"/>
          <w:color w:val="444444"/>
          <w:kern w:val="0"/>
          <w:sz w:val="24"/>
          <w:szCs w:val="24"/>
          <w14:ligatures w14:val="none"/>
        </w:rPr>
        <w:t>, which helps support healthy cognitive function.</w:t>
      </w:r>
      <w:r w:rsidRPr="00384C86">
        <w:rPr>
          <w:rFonts w:eastAsia="Times New Roman" w:cstheme="minorHAnsi"/>
          <w:color w:val="444444"/>
          <w:kern w:val="0"/>
          <w:sz w:val="24"/>
          <w:szCs w:val="24"/>
          <w:vertAlign w:val="superscript"/>
          <w14:ligatures w14:val="none"/>
        </w:rPr>
        <w:t>1-3</w:t>
      </w:r>
    </w:p>
    <w:p w14:paraId="3B8DA0B8" w14:textId="77777777" w:rsidR="00384C86" w:rsidRPr="00384C86" w:rsidRDefault="00384C86" w:rsidP="00384C86">
      <w:pPr>
        <w:numPr>
          <w:ilvl w:val="0"/>
          <w:numId w:val="4"/>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384C86">
        <w:rPr>
          <w:rFonts w:eastAsia="Times New Roman" w:cstheme="minorHAnsi"/>
          <w:i/>
          <w:iCs/>
          <w:color w:val="444444"/>
          <w:kern w:val="0"/>
          <w:sz w:val="18"/>
          <w:szCs w:val="18"/>
          <w14:ligatures w14:val="none"/>
        </w:rPr>
        <w:t xml:space="preserve">Food Chem </w:t>
      </w:r>
      <w:proofErr w:type="spellStart"/>
      <w:r w:rsidRPr="00384C86">
        <w:rPr>
          <w:rFonts w:eastAsia="Times New Roman" w:cstheme="minorHAnsi"/>
          <w:i/>
          <w:iCs/>
          <w:color w:val="444444"/>
          <w:kern w:val="0"/>
          <w:sz w:val="18"/>
          <w:szCs w:val="18"/>
          <w14:ligatures w14:val="none"/>
        </w:rPr>
        <w:t>Toxicol</w:t>
      </w:r>
      <w:proofErr w:type="spellEnd"/>
      <w:r w:rsidRPr="00384C86">
        <w:rPr>
          <w:rFonts w:eastAsia="Times New Roman" w:cstheme="minorHAnsi"/>
          <w:color w:val="444444"/>
          <w:kern w:val="0"/>
          <w:sz w:val="18"/>
          <w:szCs w:val="18"/>
          <w14:ligatures w14:val="none"/>
        </w:rPr>
        <w:t>. 2011;49(6):1303-15.</w:t>
      </w:r>
    </w:p>
    <w:p w14:paraId="435B8C88" w14:textId="77777777" w:rsidR="00384C86" w:rsidRPr="00384C86" w:rsidRDefault="00384C86" w:rsidP="00384C86">
      <w:pPr>
        <w:numPr>
          <w:ilvl w:val="0"/>
          <w:numId w:val="4"/>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384C86">
        <w:rPr>
          <w:rFonts w:eastAsia="Times New Roman" w:cstheme="minorHAnsi"/>
          <w:i/>
          <w:iCs/>
          <w:color w:val="444444"/>
          <w:kern w:val="0"/>
          <w:sz w:val="18"/>
          <w:szCs w:val="18"/>
          <w14:ligatures w14:val="none"/>
        </w:rPr>
        <w:t>Curr Alzheimer Res</w:t>
      </w:r>
      <w:r w:rsidRPr="00384C86">
        <w:rPr>
          <w:rFonts w:eastAsia="Times New Roman" w:cstheme="minorHAnsi"/>
          <w:color w:val="444444"/>
          <w:kern w:val="0"/>
          <w:sz w:val="18"/>
          <w:szCs w:val="18"/>
          <w14:ligatures w14:val="none"/>
        </w:rPr>
        <w:t>. 2013;10(10):1070-9.</w:t>
      </w:r>
    </w:p>
    <w:p w14:paraId="2A2B2782" w14:textId="77777777" w:rsidR="00384C86" w:rsidRPr="00384C86" w:rsidRDefault="00384C86" w:rsidP="00384C86">
      <w:pPr>
        <w:numPr>
          <w:ilvl w:val="0"/>
          <w:numId w:val="4"/>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384C86">
        <w:rPr>
          <w:rFonts w:eastAsia="Times New Roman" w:cstheme="minorHAnsi"/>
          <w:i/>
          <w:iCs/>
          <w:color w:val="444444"/>
          <w:kern w:val="0"/>
          <w:sz w:val="18"/>
          <w:szCs w:val="18"/>
          <w14:ligatures w14:val="none"/>
        </w:rPr>
        <w:t xml:space="preserve">Ann N Y </w:t>
      </w:r>
      <w:proofErr w:type="spellStart"/>
      <w:r w:rsidRPr="00384C86">
        <w:rPr>
          <w:rFonts w:eastAsia="Times New Roman" w:cstheme="minorHAnsi"/>
          <w:i/>
          <w:iCs/>
          <w:color w:val="444444"/>
          <w:kern w:val="0"/>
          <w:sz w:val="18"/>
          <w:szCs w:val="18"/>
          <w14:ligatures w14:val="none"/>
        </w:rPr>
        <w:t>Acad</w:t>
      </w:r>
      <w:proofErr w:type="spellEnd"/>
      <w:r w:rsidRPr="00384C86">
        <w:rPr>
          <w:rFonts w:eastAsia="Times New Roman" w:cstheme="minorHAnsi"/>
          <w:i/>
          <w:iCs/>
          <w:color w:val="444444"/>
          <w:kern w:val="0"/>
          <w:sz w:val="18"/>
          <w:szCs w:val="18"/>
          <w14:ligatures w14:val="none"/>
        </w:rPr>
        <w:t xml:space="preserve"> Sci</w:t>
      </w:r>
      <w:r w:rsidRPr="00384C86">
        <w:rPr>
          <w:rFonts w:eastAsia="Times New Roman" w:cstheme="minorHAnsi"/>
          <w:color w:val="444444"/>
          <w:kern w:val="0"/>
          <w:sz w:val="18"/>
          <w:szCs w:val="18"/>
          <w14:ligatures w14:val="none"/>
        </w:rPr>
        <w:t xml:space="preserve">. </w:t>
      </w:r>
      <w:proofErr w:type="gramStart"/>
      <w:r w:rsidRPr="00384C86">
        <w:rPr>
          <w:rFonts w:eastAsia="Times New Roman" w:cstheme="minorHAnsi"/>
          <w:color w:val="444444"/>
          <w:kern w:val="0"/>
          <w:sz w:val="18"/>
          <w:szCs w:val="18"/>
          <w14:ligatures w14:val="none"/>
        </w:rPr>
        <w:t>1994;717:253</w:t>
      </w:r>
      <w:proofErr w:type="gramEnd"/>
      <w:r w:rsidRPr="00384C86">
        <w:rPr>
          <w:rFonts w:eastAsia="Times New Roman" w:cstheme="minorHAnsi"/>
          <w:color w:val="444444"/>
          <w:kern w:val="0"/>
          <w:sz w:val="18"/>
          <w:szCs w:val="18"/>
          <w14:ligatures w14:val="none"/>
        </w:rPr>
        <w:t>-69.</w:t>
      </w:r>
    </w:p>
    <w:p w14:paraId="517B7E4B" w14:textId="77777777" w:rsidR="00384C86" w:rsidRDefault="00384C86">
      <w:pPr>
        <w:rPr>
          <w:rFonts w:cstheme="minorHAnsi"/>
          <w:sz w:val="24"/>
          <w:szCs w:val="24"/>
        </w:rPr>
      </w:pPr>
    </w:p>
    <w:p w14:paraId="7A4A78CB" w14:textId="7AE416B0" w:rsidR="005C4708" w:rsidRPr="005C4708" w:rsidRDefault="005C4708">
      <w:pPr>
        <w:rPr>
          <w:rFonts w:cstheme="minorHAnsi"/>
          <w:sz w:val="24"/>
          <w:szCs w:val="24"/>
          <w:shd w:val="clear" w:color="auto" w:fill="FFFFFF"/>
        </w:rPr>
      </w:pPr>
      <w:r w:rsidRPr="005C4708">
        <w:rPr>
          <w:rFonts w:cstheme="minorHAnsi"/>
          <w:b/>
          <w:bCs/>
          <w:sz w:val="24"/>
          <w:szCs w:val="24"/>
          <w:shd w:val="clear" w:color="auto" w:fill="FFFFFF"/>
        </w:rPr>
        <w:t>Lion’s mane</w:t>
      </w:r>
      <w:r w:rsidRPr="005C4708">
        <w:rPr>
          <w:rFonts w:cstheme="minorHAnsi"/>
          <w:sz w:val="24"/>
          <w:szCs w:val="24"/>
          <w:shd w:val="clear" w:color="auto" w:fill="FFFFFF"/>
        </w:rPr>
        <w:t xml:space="preserve"> (also called </w:t>
      </w:r>
      <w:r w:rsidRPr="005C4708">
        <w:rPr>
          <w:rFonts w:cstheme="minorHAnsi"/>
          <w:i/>
          <w:iCs/>
          <w:sz w:val="24"/>
          <w:szCs w:val="24"/>
          <w:shd w:val="clear" w:color="auto" w:fill="FFFFFF"/>
        </w:rPr>
        <w:t xml:space="preserve">Hericium </w:t>
      </w:r>
      <w:proofErr w:type="spellStart"/>
      <w:r w:rsidRPr="005C4708">
        <w:rPr>
          <w:rFonts w:cstheme="minorHAnsi"/>
          <w:i/>
          <w:iCs/>
          <w:sz w:val="24"/>
          <w:szCs w:val="24"/>
          <w:shd w:val="clear" w:color="auto" w:fill="FFFFFF"/>
        </w:rPr>
        <w:t>erinaceaus</w:t>
      </w:r>
      <w:proofErr w:type="spellEnd"/>
      <w:r w:rsidRPr="005C4708">
        <w:rPr>
          <w:rFonts w:cstheme="minorHAnsi"/>
          <w:sz w:val="24"/>
          <w:szCs w:val="24"/>
          <w:shd w:val="clear" w:color="auto" w:fill="FFFFFF"/>
        </w:rPr>
        <w:t xml:space="preserve">) is a medicinal, edible mushroom that contains many compounds, namely hericenones and erinacines. Cognitive effects with Lion’s mane have been mixed based on small and short-duration clinical trials. Preclinical studies suggest that Lion’s mane may be able to increase levels of a molecule called </w:t>
      </w:r>
      <w:r w:rsidRPr="005C4708">
        <w:rPr>
          <w:rFonts w:cstheme="minorHAnsi"/>
          <w:b/>
          <w:bCs/>
          <w:sz w:val="24"/>
          <w:szCs w:val="24"/>
          <w:shd w:val="clear" w:color="auto" w:fill="FFFFFF"/>
        </w:rPr>
        <w:t>nerve growth factor (NGF)</w:t>
      </w:r>
      <w:r w:rsidRPr="005C4708">
        <w:rPr>
          <w:rFonts w:cstheme="minorHAnsi"/>
          <w:sz w:val="24"/>
          <w:szCs w:val="24"/>
          <w:shd w:val="clear" w:color="auto" w:fill="FFFFFF"/>
        </w:rPr>
        <w:t xml:space="preserve">, which increases the length of nerve cell processes. </w:t>
      </w:r>
    </w:p>
    <w:p w14:paraId="7E74EEC9" w14:textId="4E0744F3" w:rsidR="005C4708" w:rsidRPr="005C4708" w:rsidRDefault="005C4708" w:rsidP="005C4708">
      <w:pPr>
        <w:shd w:val="clear" w:color="auto" w:fill="FFFFFF"/>
        <w:spacing w:after="450" w:line="390" w:lineRule="atLeast"/>
        <w:rPr>
          <w:rFonts w:eastAsia="Times New Roman" w:cstheme="minorHAnsi"/>
          <w:kern w:val="0"/>
          <w:sz w:val="24"/>
          <w:szCs w:val="24"/>
          <w14:ligatures w14:val="none"/>
        </w:rPr>
      </w:pPr>
      <w:r w:rsidRPr="005C4708">
        <w:rPr>
          <w:rFonts w:eastAsia="Times New Roman" w:cstheme="minorHAnsi"/>
          <w:kern w:val="0"/>
          <w:sz w:val="24"/>
          <w:szCs w:val="24"/>
          <w14:ligatures w14:val="none"/>
        </w:rPr>
        <w:t>Cognitive effects with Lion’s mane supplements have been mixed based on several small clinical trials. One randomized placebo-controlled trial of 30 people with mild cognitive impairment reported that Lion’s mane treatment for 16 weeks improved performance on a cognitive test, but cognitive performance declined after the treatment period ended, suggesting that it may not have lasting benefits</w:t>
      </w:r>
      <w:r w:rsidR="00097662">
        <w:rPr>
          <w:rFonts w:eastAsia="Times New Roman" w:cstheme="minorHAnsi"/>
          <w:kern w:val="0"/>
          <w:sz w:val="24"/>
          <w:szCs w:val="24"/>
          <w14:ligatures w14:val="none"/>
        </w:rPr>
        <w:t>1</w:t>
      </w:r>
      <w:r w:rsidRPr="005C4708">
        <w:rPr>
          <w:rFonts w:eastAsia="Times New Roman" w:cstheme="minorHAnsi"/>
          <w:kern w:val="0"/>
          <w:sz w:val="24"/>
          <w:szCs w:val="24"/>
          <w14:ligatures w14:val="none"/>
        </w:rPr>
        <w:t>. In a randomized placebo-controlled trial of 31 healthy adults over the age of 50, Lion’s mane treatment for 12 weeks improved cognitive function on only one of the three tests used</w:t>
      </w:r>
      <w:r w:rsidR="00097662">
        <w:rPr>
          <w:rFonts w:eastAsia="Times New Roman" w:cstheme="minorHAnsi"/>
          <w:kern w:val="0"/>
          <w:sz w:val="24"/>
          <w:szCs w:val="24"/>
          <w14:ligatures w14:val="none"/>
        </w:rPr>
        <w:t>2</w:t>
      </w:r>
      <w:r w:rsidRPr="005C4708">
        <w:rPr>
          <w:rFonts w:eastAsia="Times New Roman" w:cstheme="minorHAnsi"/>
          <w:kern w:val="0"/>
          <w:sz w:val="24"/>
          <w:szCs w:val="24"/>
          <w14:ligatures w14:val="none"/>
        </w:rPr>
        <w:t>. Both the Lion’s mane and placebo groups improved in this cognitive outcome over time. In a randomized placebo-controlled trial of 41 healthy adults (18-45 years old), Lion’s mane mushroom treatment for four weeks resulted in worse performance (fewer words recalled) on the delayed word recall accuracy test compared to the placebo group</w:t>
      </w:r>
      <w:r w:rsidR="00097662">
        <w:rPr>
          <w:rFonts w:eastAsia="Times New Roman" w:cstheme="minorHAnsi"/>
          <w:kern w:val="0"/>
          <w:sz w:val="24"/>
          <w:szCs w:val="24"/>
          <w14:ligatures w14:val="none"/>
        </w:rPr>
        <w:t>3</w:t>
      </w:r>
      <w:r w:rsidRPr="005C4708">
        <w:rPr>
          <w:rFonts w:eastAsia="Times New Roman" w:cstheme="minorHAnsi"/>
          <w:kern w:val="0"/>
          <w:sz w:val="24"/>
          <w:szCs w:val="24"/>
          <w14:ligatures w14:val="none"/>
        </w:rPr>
        <w:t xml:space="preserve">. In two small, randomized placebo-controlled trials in healthy young adults, Lion’s mane treatment failed to improve cognitive function </w:t>
      </w:r>
      <w:r w:rsidR="00097662">
        <w:rPr>
          <w:rFonts w:eastAsia="Times New Roman" w:cstheme="minorHAnsi"/>
          <w:kern w:val="0"/>
          <w:sz w:val="24"/>
          <w:szCs w:val="24"/>
          <w14:ligatures w14:val="none"/>
        </w:rPr>
        <w:t xml:space="preserve">4,5. </w:t>
      </w:r>
      <w:r w:rsidRPr="005C4708">
        <w:rPr>
          <w:rFonts w:eastAsia="Times New Roman" w:cstheme="minorHAnsi"/>
          <w:kern w:val="0"/>
          <w:sz w:val="24"/>
          <w:szCs w:val="24"/>
          <w14:ligatures w14:val="none"/>
        </w:rPr>
        <w:t>Larger, longer-duration, and well-controlled clinical trials are needed to further evaluate the effects of Lion’s mane on cognitive function.</w:t>
      </w:r>
    </w:p>
    <w:p w14:paraId="66F98A21" w14:textId="5FD8438A" w:rsidR="005C4708" w:rsidRPr="005C4708" w:rsidRDefault="005C4708" w:rsidP="005C4708">
      <w:pPr>
        <w:shd w:val="clear" w:color="auto" w:fill="FFFFFF"/>
        <w:spacing w:after="450" w:line="390" w:lineRule="atLeast"/>
        <w:rPr>
          <w:rFonts w:eastAsia="Times New Roman" w:cstheme="minorHAnsi"/>
          <w:kern w:val="0"/>
          <w:sz w:val="24"/>
          <w:szCs w:val="24"/>
          <w14:ligatures w14:val="none"/>
        </w:rPr>
      </w:pPr>
      <w:r w:rsidRPr="005C4708">
        <w:rPr>
          <w:rFonts w:eastAsia="Times New Roman" w:cstheme="minorHAnsi"/>
          <w:kern w:val="0"/>
          <w:sz w:val="24"/>
          <w:szCs w:val="24"/>
          <w14:ligatures w14:val="none"/>
        </w:rPr>
        <w:lastRenderedPageBreak/>
        <w:t xml:space="preserve">Preclinical studies suggest that Lion’s mane may reduce inflammation and biological markers of Alzheimer’s disease (i.e., amyloid plaques), improve cognition, and increase the release of nerve growth factor, a protein that can increase the length of nerve cell processes </w:t>
      </w:r>
      <w:r w:rsidR="00097662">
        <w:rPr>
          <w:rFonts w:eastAsia="Times New Roman" w:cstheme="minorHAnsi"/>
          <w:kern w:val="0"/>
          <w:sz w:val="24"/>
          <w:szCs w:val="24"/>
          <w14:ligatures w14:val="none"/>
        </w:rPr>
        <w:t>6,7,8,9,10.</w:t>
      </w:r>
      <w:r w:rsidRPr="005C4708">
        <w:rPr>
          <w:rFonts w:eastAsia="Times New Roman" w:cstheme="minorHAnsi"/>
          <w:kern w:val="0"/>
          <w:sz w:val="24"/>
          <w:szCs w:val="24"/>
          <w14:ligatures w14:val="none"/>
        </w:rPr>
        <w:t xml:space="preserve"> </w:t>
      </w:r>
    </w:p>
    <w:p w14:paraId="663788AF" w14:textId="77777777" w:rsidR="005C4708" w:rsidRPr="005C4708" w:rsidRDefault="005C4708" w:rsidP="005C4708">
      <w:pPr>
        <w:numPr>
          <w:ilvl w:val="0"/>
          <w:numId w:val="5"/>
        </w:numPr>
        <w:shd w:val="clear" w:color="auto" w:fill="FFFFFF"/>
        <w:spacing w:before="100" w:beforeAutospacing="1" w:after="240" w:line="240" w:lineRule="auto"/>
        <w:rPr>
          <w:rFonts w:eastAsia="Times New Roman" w:cstheme="minorHAnsi"/>
          <w:kern w:val="0"/>
          <w:sz w:val="18"/>
          <w:szCs w:val="18"/>
          <w14:ligatures w14:val="none"/>
        </w:rPr>
      </w:pPr>
      <w:r w:rsidRPr="005C4708">
        <w:rPr>
          <w:rFonts w:eastAsia="Times New Roman" w:cstheme="minorHAnsi"/>
          <w:kern w:val="0"/>
          <w:sz w:val="18"/>
          <w:szCs w:val="18"/>
          <w14:ligatures w14:val="none"/>
        </w:rPr>
        <w:t xml:space="preserve">Mori K, </w:t>
      </w:r>
      <w:proofErr w:type="spellStart"/>
      <w:r w:rsidRPr="005C4708">
        <w:rPr>
          <w:rFonts w:eastAsia="Times New Roman" w:cstheme="minorHAnsi"/>
          <w:kern w:val="0"/>
          <w:sz w:val="18"/>
          <w:szCs w:val="18"/>
          <w14:ligatures w14:val="none"/>
        </w:rPr>
        <w:t>Inatomi</w:t>
      </w:r>
      <w:proofErr w:type="spellEnd"/>
      <w:r w:rsidRPr="005C4708">
        <w:rPr>
          <w:rFonts w:eastAsia="Times New Roman" w:cstheme="minorHAnsi"/>
          <w:kern w:val="0"/>
          <w:sz w:val="18"/>
          <w:szCs w:val="18"/>
          <w14:ligatures w14:val="none"/>
        </w:rPr>
        <w:t xml:space="preserve"> S, Ouchi K </w:t>
      </w:r>
      <w:r w:rsidRPr="005C4708">
        <w:rPr>
          <w:rFonts w:eastAsia="Times New Roman" w:cstheme="minorHAnsi"/>
          <w:i/>
          <w:iCs/>
          <w:kern w:val="0"/>
          <w:sz w:val="18"/>
          <w:szCs w:val="18"/>
          <w14:ligatures w14:val="none"/>
        </w:rPr>
        <w:t>et al</w:t>
      </w:r>
      <w:r w:rsidRPr="005C4708">
        <w:rPr>
          <w:rFonts w:eastAsia="Times New Roman" w:cstheme="minorHAnsi"/>
          <w:kern w:val="0"/>
          <w:sz w:val="18"/>
          <w:szCs w:val="18"/>
          <w14:ligatures w14:val="none"/>
        </w:rPr>
        <w:t>. (2009) </w:t>
      </w:r>
      <w:hyperlink r:id="rId5" w:history="1">
        <w:r w:rsidRPr="005C4708">
          <w:rPr>
            <w:rFonts w:eastAsia="Times New Roman" w:cstheme="minorHAnsi"/>
            <w:kern w:val="0"/>
            <w:sz w:val="18"/>
            <w:szCs w:val="18"/>
            <w:u w:val="single"/>
            <w14:ligatures w14:val="none"/>
          </w:rPr>
          <w:t xml:space="preserve">Improving effects of the mushroom </w:t>
        </w:r>
        <w:proofErr w:type="spellStart"/>
        <w:r w:rsidRPr="005C4708">
          <w:rPr>
            <w:rFonts w:eastAsia="Times New Roman" w:cstheme="minorHAnsi"/>
            <w:kern w:val="0"/>
            <w:sz w:val="18"/>
            <w:szCs w:val="18"/>
            <w:u w:val="single"/>
            <w14:ligatures w14:val="none"/>
          </w:rPr>
          <w:t>Yamabushitake</w:t>
        </w:r>
        <w:proofErr w:type="spellEnd"/>
        <w:r w:rsidRPr="005C4708">
          <w:rPr>
            <w:rFonts w:eastAsia="Times New Roman" w:cstheme="minorHAnsi"/>
            <w:kern w:val="0"/>
            <w:sz w:val="18"/>
            <w:szCs w:val="18"/>
            <w:u w:val="single"/>
            <w14:ligatures w14:val="none"/>
          </w:rPr>
          <w:t xml:space="preserve"> (Hericium </w:t>
        </w:r>
        <w:proofErr w:type="spellStart"/>
        <w:r w:rsidRPr="005C4708">
          <w:rPr>
            <w:rFonts w:eastAsia="Times New Roman" w:cstheme="minorHAnsi"/>
            <w:kern w:val="0"/>
            <w:sz w:val="18"/>
            <w:szCs w:val="18"/>
            <w:u w:val="single"/>
            <w14:ligatures w14:val="none"/>
          </w:rPr>
          <w:t>erinaceus</w:t>
        </w:r>
        <w:proofErr w:type="spellEnd"/>
        <w:r w:rsidRPr="005C4708">
          <w:rPr>
            <w:rFonts w:eastAsia="Times New Roman" w:cstheme="minorHAnsi"/>
            <w:kern w:val="0"/>
            <w:sz w:val="18"/>
            <w:szCs w:val="18"/>
            <w:u w:val="single"/>
            <w14:ligatures w14:val="none"/>
          </w:rPr>
          <w:t>) on mild cognitive impairment: a double-blind placebo-controlled clinical trial.</w:t>
        </w:r>
      </w:hyperlink>
      <w:r w:rsidRPr="005C4708">
        <w:rPr>
          <w:rFonts w:eastAsia="Times New Roman" w:cstheme="minorHAnsi"/>
          <w:kern w:val="0"/>
          <w:sz w:val="18"/>
          <w:szCs w:val="18"/>
          <w14:ligatures w14:val="none"/>
        </w:rPr>
        <w:t> </w:t>
      </w:r>
      <w:proofErr w:type="spellStart"/>
      <w:r w:rsidRPr="005C4708">
        <w:rPr>
          <w:rFonts w:eastAsia="Times New Roman" w:cstheme="minorHAnsi"/>
          <w:kern w:val="0"/>
          <w:sz w:val="18"/>
          <w:szCs w:val="18"/>
          <w14:ligatures w14:val="none"/>
        </w:rPr>
        <w:t>Phytother</w:t>
      </w:r>
      <w:proofErr w:type="spellEnd"/>
      <w:r w:rsidRPr="005C4708">
        <w:rPr>
          <w:rFonts w:eastAsia="Times New Roman" w:cstheme="minorHAnsi"/>
          <w:kern w:val="0"/>
          <w:sz w:val="18"/>
          <w:szCs w:val="18"/>
          <w14:ligatures w14:val="none"/>
        </w:rPr>
        <w:t xml:space="preserve"> Res 23, 367-372.</w:t>
      </w:r>
    </w:p>
    <w:p w14:paraId="7B839410" w14:textId="77777777" w:rsidR="005C4708" w:rsidRPr="005C4708" w:rsidRDefault="005C4708" w:rsidP="005C4708">
      <w:pPr>
        <w:numPr>
          <w:ilvl w:val="0"/>
          <w:numId w:val="5"/>
        </w:numPr>
        <w:shd w:val="clear" w:color="auto" w:fill="FFFFFF"/>
        <w:spacing w:before="100" w:beforeAutospacing="1" w:after="240" w:line="240" w:lineRule="auto"/>
        <w:rPr>
          <w:rFonts w:eastAsia="Times New Roman" w:cstheme="minorHAnsi"/>
          <w:kern w:val="0"/>
          <w:sz w:val="18"/>
          <w:szCs w:val="18"/>
          <w14:ligatures w14:val="none"/>
        </w:rPr>
      </w:pPr>
      <w:proofErr w:type="spellStart"/>
      <w:r w:rsidRPr="005C4708">
        <w:rPr>
          <w:rFonts w:eastAsia="Times New Roman" w:cstheme="minorHAnsi"/>
          <w:kern w:val="0"/>
          <w:sz w:val="18"/>
          <w:szCs w:val="18"/>
          <w14:ligatures w14:val="none"/>
        </w:rPr>
        <w:t>Saitsu</w:t>
      </w:r>
      <w:proofErr w:type="spellEnd"/>
      <w:r w:rsidRPr="005C4708">
        <w:rPr>
          <w:rFonts w:eastAsia="Times New Roman" w:cstheme="minorHAnsi"/>
          <w:kern w:val="0"/>
          <w:sz w:val="18"/>
          <w:szCs w:val="18"/>
          <w14:ligatures w14:val="none"/>
        </w:rPr>
        <w:t xml:space="preserve"> Y, </w:t>
      </w:r>
      <w:proofErr w:type="spellStart"/>
      <w:r w:rsidRPr="005C4708">
        <w:rPr>
          <w:rFonts w:eastAsia="Times New Roman" w:cstheme="minorHAnsi"/>
          <w:kern w:val="0"/>
          <w:sz w:val="18"/>
          <w:szCs w:val="18"/>
          <w14:ligatures w14:val="none"/>
        </w:rPr>
        <w:t>Nishide</w:t>
      </w:r>
      <w:proofErr w:type="spellEnd"/>
      <w:r w:rsidRPr="005C4708">
        <w:rPr>
          <w:rFonts w:eastAsia="Times New Roman" w:cstheme="minorHAnsi"/>
          <w:kern w:val="0"/>
          <w:sz w:val="18"/>
          <w:szCs w:val="18"/>
          <w14:ligatures w14:val="none"/>
        </w:rPr>
        <w:t xml:space="preserve"> A, </w:t>
      </w:r>
      <w:proofErr w:type="spellStart"/>
      <w:r w:rsidRPr="005C4708">
        <w:rPr>
          <w:rFonts w:eastAsia="Times New Roman" w:cstheme="minorHAnsi"/>
          <w:kern w:val="0"/>
          <w:sz w:val="18"/>
          <w:szCs w:val="18"/>
          <w14:ligatures w14:val="none"/>
        </w:rPr>
        <w:t>Kikushima</w:t>
      </w:r>
      <w:proofErr w:type="spellEnd"/>
      <w:r w:rsidRPr="005C4708">
        <w:rPr>
          <w:rFonts w:eastAsia="Times New Roman" w:cstheme="minorHAnsi"/>
          <w:kern w:val="0"/>
          <w:sz w:val="18"/>
          <w:szCs w:val="18"/>
          <w14:ligatures w14:val="none"/>
        </w:rPr>
        <w:t xml:space="preserve"> K </w:t>
      </w:r>
      <w:r w:rsidRPr="005C4708">
        <w:rPr>
          <w:rFonts w:eastAsia="Times New Roman" w:cstheme="minorHAnsi"/>
          <w:i/>
          <w:iCs/>
          <w:kern w:val="0"/>
          <w:sz w:val="18"/>
          <w:szCs w:val="18"/>
          <w14:ligatures w14:val="none"/>
        </w:rPr>
        <w:t>et al</w:t>
      </w:r>
      <w:r w:rsidRPr="005C4708">
        <w:rPr>
          <w:rFonts w:eastAsia="Times New Roman" w:cstheme="minorHAnsi"/>
          <w:kern w:val="0"/>
          <w:sz w:val="18"/>
          <w:szCs w:val="18"/>
          <w14:ligatures w14:val="none"/>
        </w:rPr>
        <w:t>. (2019) </w:t>
      </w:r>
      <w:hyperlink r:id="rId6" w:history="1">
        <w:r w:rsidRPr="005C4708">
          <w:rPr>
            <w:rFonts w:eastAsia="Times New Roman" w:cstheme="minorHAnsi"/>
            <w:kern w:val="0"/>
            <w:sz w:val="18"/>
            <w:szCs w:val="18"/>
            <w:u w:val="single"/>
            <w14:ligatures w14:val="none"/>
          </w:rPr>
          <w:t xml:space="preserve">Improvement of cognitive functions by oral intake of Hericium </w:t>
        </w:r>
        <w:proofErr w:type="spellStart"/>
        <w:r w:rsidRPr="005C4708">
          <w:rPr>
            <w:rFonts w:eastAsia="Times New Roman" w:cstheme="minorHAnsi"/>
            <w:kern w:val="0"/>
            <w:sz w:val="18"/>
            <w:szCs w:val="18"/>
            <w:u w:val="single"/>
            <w14:ligatures w14:val="none"/>
          </w:rPr>
          <w:t>erinaceus</w:t>
        </w:r>
        <w:proofErr w:type="spellEnd"/>
        <w:r w:rsidRPr="005C4708">
          <w:rPr>
            <w:rFonts w:eastAsia="Times New Roman" w:cstheme="minorHAnsi"/>
            <w:kern w:val="0"/>
            <w:sz w:val="18"/>
            <w:szCs w:val="18"/>
            <w:u w:val="single"/>
            <w14:ligatures w14:val="none"/>
          </w:rPr>
          <w:t>.</w:t>
        </w:r>
      </w:hyperlink>
      <w:r w:rsidRPr="005C4708">
        <w:rPr>
          <w:rFonts w:eastAsia="Times New Roman" w:cstheme="minorHAnsi"/>
          <w:kern w:val="0"/>
          <w:sz w:val="18"/>
          <w:szCs w:val="18"/>
          <w14:ligatures w14:val="none"/>
        </w:rPr>
        <w:t> Biomed Res 40, 125-131.</w:t>
      </w:r>
    </w:p>
    <w:p w14:paraId="01D418A3" w14:textId="77777777" w:rsidR="005C4708" w:rsidRPr="005C4708" w:rsidRDefault="005C4708" w:rsidP="005C4708">
      <w:pPr>
        <w:numPr>
          <w:ilvl w:val="0"/>
          <w:numId w:val="5"/>
        </w:numPr>
        <w:shd w:val="clear" w:color="auto" w:fill="FFFFFF"/>
        <w:spacing w:before="100" w:beforeAutospacing="1" w:after="240" w:line="240" w:lineRule="auto"/>
        <w:rPr>
          <w:rFonts w:eastAsia="Times New Roman" w:cstheme="minorHAnsi"/>
          <w:kern w:val="0"/>
          <w:sz w:val="18"/>
          <w:szCs w:val="18"/>
          <w14:ligatures w14:val="none"/>
        </w:rPr>
      </w:pPr>
      <w:r w:rsidRPr="005C4708">
        <w:rPr>
          <w:rFonts w:eastAsia="Times New Roman" w:cstheme="minorHAnsi"/>
          <w:kern w:val="0"/>
          <w:sz w:val="18"/>
          <w:szCs w:val="18"/>
          <w14:ligatures w14:val="none"/>
        </w:rPr>
        <w:t>Docherty S, Doughty FL, Smith EF (2023) </w:t>
      </w:r>
      <w:hyperlink r:id="rId7" w:history="1">
        <w:r w:rsidRPr="005C4708">
          <w:rPr>
            <w:rFonts w:eastAsia="Times New Roman" w:cstheme="minorHAnsi"/>
            <w:kern w:val="0"/>
            <w:sz w:val="18"/>
            <w:szCs w:val="18"/>
            <w:u w:val="single"/>
            <w14:ligatures w14:val="none"/>
          </w:rPr>
          <w:t>The Acute and Chronic Effects of Lion's Mane Mushroom Supplementation on Cognitive Function, Stress and Mood in Young Adults: A Double-Blind, Parallel Groups, Pilot Study.</w:t>
        </w:r>
      </w:hyperlink>
      <w:r w:rsidRPr="005C4708">
        <w:rPr>
          <w:rFonts w:eastAsia="Times New Roman" w:cstheme="minorHAnsi"/>
          <w:kern w:val="0"/>
          <w:sz w:val="18"/>
          <w:szCs w:val="18"/>
          <w14:ligatures w14:val="none"/>
        </w:rPr>
        <w:t> Nutrients 15.</w:t>
      </w:r>
    </w:p>
    <w:p w14:paraId="40C1CB34" w14:textId="77777777" w:rsidR="005C4708" w:rsidRPr="005C4708" w:rsidRDefault="005C4708" w:rsidP="005C4708">
      <w:pPr>
        <w:numPr>
          <w:ilvl w:val="0"/>
          <w:numId w:val="5"/>
        </w:numPr>
        <w:shd w:val="clear" w:color="auto" w:fill="FFFFFF"/>
        <w:spacing w:before="100" w:beforeAutospacing="1" w:after="240" w:line="240" w:lineRule="auto"/>
        <w:rPr>
          <w:rFonts w:eastAsia="Times New Roman" w:cstheme="minorHAnsi"/>
          <w:kern w:val="0"/>
          <w:sz w:val="18"/>
          <w:szCs w:val="18"/>
          <w14:ligatures w14:val="none"/>
        </w:rPr>
      </w:pPr>
      <w:r w:rsidRPr="005C4708">
        <w:rPr>
          <w:rFonts w:eastAsia="Times New Roman" w:cstheme="minorHAnsi"/>
          <w:kern w:val="0"/>
          <w:sz w:val="18"/>
          <w:szCs w:val="18"/>
          <w14:ligatures w14:val="none"/>
        </w:rPr>
        <w:t>Grozier CD, Alves VA, Killen LG et al. (2022) </w:t>
      </w:r>
      <w:hyperlink r:id="rId8" w:history="1">
        <w:r w:rsidRPr="005C4708">
          <w:rPr>
            <w:rFonts w:eastAsia="Times New Roman" w:cstheme="minorHAnsi"/>
            <w:kern w:val="0"/>
            <w:sz w:val="18"/>
            <w:szCs w:val="18"/>
            <w:u w:val="single"/>
            <w14:ligatures w14:val="none"/>
          </w:rPr>
          <w:t xml:space="preserve">Four Weeks of Hericium </w:t>
        </w:r>
        <w:proofErr w:type="spellStart"/>
        <w:r w:rsidRPr="005C4708">
          <w:rPr>
            <w:rFonts w:eastAsia="Times New Roman" w:cstheme="minorHAnsi"/>
            <w:kern w:val="0"/>
            <w:sz w:val="18"/>
            <w:szCs w:val="18"/>
            <w:u w:val="single"/>
            <w14:ligatures w14:val="none"/>
          </w:rPr>
          <w:t>erinaceus</w:t>
        </w:r>
        <w:proofErr w:type="spellEnd"/>
        <w:r w:rsidRPr="005C4708">
          <w:rPr>
            <w:rFonts w:eastAsia="Times New Roman" w:cstheme="minorHAnsi"/>
            <w:kern w:val="0"/>
            <w:sz w:val="18"/>
            <w:szCs w:val="18"/>
            <w:u w:val="single"/>
            <w14:ligatures w14:val="none"/>
          </w:rPr>
          <w:t xml:space="preserve"> Supplementation Does Not Impact Markers of Metabolic Flexibility or Cognition.</w:t>
        </w:r>
      </w:hyperlink>
      <w:r w:rsidRPr="005C4708">
        <w:rPr>
          <w:rFonts w:eastAsia="Times New Roman" w:cstheme="minorHAnsi"/>
          <w:kern w:val="0"/>
          <w:sz w:val="18"/>
          <w:szCs w:val="18"/>
          <w14:ligatures w14:val="none"/>
        </w:rPr>
        <w:t> International journal of exercise science 15, 1366-1380.</w:t>
      </w:r>
    </w:p>
    <w:p w14:paraId="659D6740" w14:textId="77777777" w:rsidR="005C4708" w:rsidRPr="005C4708" w:rsidRDefault="005C4708" w:rsidP="005C4708">
      <w:pPr>
        <w:numPr>
          <w:ilvl w:val="0"/>
          <w:numId w:val="5"/>
        </w:numPr>
        <w:shd w:val="clear" w:color="auto" w:fill="FFFFFF"/>
        <w:spacing w:before="100" w:beforeAutospacing="1" w:after="240" w:line="240" w:lineRule="auto"/>
        <w:rPr>
          <w:rFonts w:eastAsia="Times New Roman" w:cstheme="minorHAnsi"/>
          <w:kern w:val="0"/>
          <w:sz w:val="18"/>
          <w:szCs w:val="18"/>
          <w14:ligatures w14:val="none"/>
        </w:rPr>
      </w:pPr>
      <w:r w:rsidRPr="005C4708">
        <w:rPr>
          <w:rFonts w:eastAsia="Times New Roman" w:cstheme="minorHAnsi"/>
          <w:kern w:val="0"/>
          <w:sz w:val="18"/>
          <w:szCs w:val="18"/>
          <w14:ligatures w14:val="none"/>
        </w:rPr>
        <w:t>Surendran G, Saye J, Binti Mohd Jalil S et al. (2025) </w:t>
      </w:r>
      <w:hyperlink r:id="rId9" w:history="1">
        <w:r w:rsidRPr="005C4708">
          <w:rPr>
            <w:rFonts w:eastAsia="Times New Roman" w:cstheme="minorHAnsi"/>
            <w:kern w:val="0"/>
            <w:sz w:val="18"/>
            <w:szCs w:val="18"/>
            <w:u w:val="single"/>
            <w14:ligatures w14:val="none"/>
          </w:rPr>
          <w:t xml:space="preserve">Acute effects of a </w:t>
        </w:r>
        <w:proofErr w:type="spellStart"/>
        <w:r w:rsidRPr="005C4708">
          <w:rPr>
            <w:rFonts w:eastAsia="Times New Roman" w:cstheme="minorHAnsi"/>
            <w:kern w:val="0"/>
            <w:sz w:val="18"/>
            <w:szCs w:val="18"/>
            <w:u w:val="single"/>
            <w14:ligatures w14:val="none"/>
          </w:rPr>
          <w:t>standardised</w:t>
        </w:r>
        <w:proofErr w:type="spellEnd"/>
        <w:r w:rsidRPr="005C4708">
          <w:rPr>
            <w:rFonts w:eastAsia="Times New Roman" w:cstheme="minorHAnsi"/>
            <w:kern w:val="0"/>
            <w:sz w:val="18"/>
            <w:szCs w:val="18"/>
            <w:u w:val="single"/>
            <w14:ligatures w14:val="none"/>
          </w:rPr>
          <w:t xml:space="preserve"> extract of Hericium </w:t>
        </w:r>
        <w:proofErr w:type="spellStart"/>
        <w:r w:rsidRPr="005C4708">
          <w:rPr>
            <w:rFonts w:eastAsia="Times New Roman" w:cstheme="minorHAnsi"/>
            <w:kern w:val="0"/>
            <w:sz w:val="18"/>
            <w:szCs w:val="18"/>
            <w:u w:val="single"/>
            <w14:ligatures w14:val="none"/>
          </w:rPr>
          <w:t>erinaceus</w:t>
        </w:r>
        <w:proofErr w:type="spellEnd"/>
        <w:r w:rsidRPr="005C4708">
          <w:rPr>
            <w:rFonts w:eastAsia="Times New Roman" w:cstheme="minorHAnsi"/>
            <w:kern w:val="0"/>
            <w:sz w:val="18"/>
            <w:szCs w:val="18"/>
            <w:u w:val="single"/>
            <w14:ligatures w14:val="none"/>
          </w:rPr>
          <w:t xml:space="preserve"> (Lion's Mane mushroom) on cognition and mood in healthy younger adults: a double-blind </w:t>
        </w:r>
        <w:proofErr w:type="spellStart"/>
        <w:r w:rsidRPr="005C4708">
          <w:rPr>
            <w:rFonts w:eastAsia="Times New Roman" w:cstheme="minorHAnsi"/>
            <w:kern w:val="0"/>
            <w:sz w:val="18"/>
            <w:szCs w:val="18"/>
            <w:u w:val="single"/>
            <w14:ligatures w14:val="none"/>
          </w:rPr>
          <w:t>randomised</w:t>
        </w:r>
        <w:proofErr w:type="spellEnd"/>
        <w:r w:rsidRPr="005C4708">
          <w:rPr>
            <w:rFonts w:eastAsia="Times New Roman" w:cstheme="minorHAnsi"/>
            <w:kern w:val="0"/>
            <w:sz w:val="18"/>
            <w:szCs w:val="18"/>
            <w:u w:val="single"/>
            <w14:ligatures w14:val="none"/>
          </w:rPr>
          <w:t xml:space="preserve"> placebo-controlled study.</w:t>
        </w:r>
      </w:hyperlink>
      <w:r w:rsidRPr="005C4708">
        <w:rPr>
          <w:rFonts w:eastAsia="Times New Roman" w:cstheme="minorHAnsi"/>
          <w:kern w:val="0"/>
          <w:sz w:val="18"/>
          <w:szCs w:val="18"/>
          <w14:ligatures w14:val="none"/>
        </w:rPr>
        <w:t> Frontiers in nutrition 12, 1405796.</w:t>
      </w:r>
    </w:p>
    <w:p w14:paraId="628EFF87" w14:textId="77777777" w:rsidR="005C4708" w:rsidRPr="005C4708" w:rsidRDefault="005C4708" w:rsidP="005C4708">
      <w:pPr>
        <w:numPr>
          <w:ilvl w:val="0"/>
          <w:numId w:val="5"/>
        </w:numPr>
        <w:shd w:val="clear" w:color="auto" w:fill="FFFFFF"/>
        <w:spacing w:before="100" w:beforeAutospacing="1" w:after="240" w:line="240" w:lineRule="auto"/>
        <w:rPr>
          <w:rFonts w:eastAsia="Times New Roman" w:cstheme="minorHAnsi"/>
          <w:kern w:val="0"/>
          <w:sz w:val="18"/>
          <w:szCs w:val="18"/>
          <w14:ligatures w14:val="none"/>
        </w:rPr>
      </w:pPr>
      <w:r w:rsidRPr="005C4708">
        <w:rPr>
          <w:rFonts w:eastAsia="Times New Roman" w:cstheme="minorHAnsi"/>
          <w:kern w:val="0"/>
          <w:sz w:val="18"/>
          <w:szCs w:val="18"/>
          <w14:ligatures w14:val="none"/>
        </w:rPr>
        <w:t>Tsai-Teng T, Chin-Chu C, Li-Ya L et al. (2016) </w:t>
      </w:r>
      <w:hyperlink r:id="rId10" w:history="1">
        <w:r w:rsidRPr="005C4708">
          <w:rPr>
            <w:rFonts w:eastAsia="Times New Roman" w:cstheme="minorHAnsi"/>
            <w:kern w:val="0"/>
            <w:sz w:val="18"/>
            <w:szCs w:val="18"/>
            <w:u w:val="single"/>
            <w14:ligatures w14:val="none"/>
          </w:rPr>
          <w:t xml:space="preserve">Erinacine A-enriched Hericium </w:t>
        </w:r>
        <w:proofErr w:type="spellStart"/>
        <w:r w:rsidRPr="005C4708">
          <w:rPr>
            <w:rFonts w:eastAsia="Times New Roman" w:cstheme="minorHAnsi"/>
            <w:kern w:val="0"/>
            <w:sz w:val="18"/>
            <w:szCs w:val="18"/>
            <w:u w:val="single"/>
            <w14:ligatures w14:val="none"/>
          </w:rPr>
          <w:t>erinaceus</w:t>
        </w:r>
        <w:proofErr w:type="spellEnd"/>
        <w:r w:rsidRPr="005C4708">
          <w:rPr>
            <w:rFonts w:eastAsia="Times New Roman" w:cstheme="minorHAnsi"/>
            <w:kern w:val="0"/>
            <w:sz w:val="18"/>
            <w:szCs w:val="18"/>
            <w:u w:val="single"/>
            <w14:ligatures w14:val="none"/>
          </w:rPr>
          <w:t xml:space="preserve"> mycelium ameliorates Alzheimer's disease-related pathologies in </w:t>
        </w:r>
        <w:proofErr w:type="spellStart"/>
        <w:r w:rsidRPr="005C4708">
          <w:rPr>
            <w:rFonts w:eastAsia="Times New Roman" w:cstheme="minorHAnsi"/>
            <w:kern w:val="0"/>
            <w:sz w:val="18"/>
            <w:szCs w:val="18"/>
            <w:u w:val="single"/>
            <w14:ligatures w14:val="none"/>
          </w:rPr>
          <w:t>APPswe</w:t>
        </w:r>
        <w:proofErr w:type="spellEnd"/>
        <w:r w:rsidRPr="005C4708">
          <w:rPr>
            <w:rFonts w:eastAsia="Times New Roman" w:cstheme="minorHAnsi"/>
            <w:kern w:val="0"/>
            <w:sz w:val="18"/>
            <w:szCs w:val="18"/>
            <w:u w:val="single"/>
            <w14:ligatures w14:val="none"/>
          </w:rPr>
          <w:t>/PS1dE9 transgenic mice.</w:t>
        </w:r>
      </w:hyperlink>
      <w:r w:rsidRPr="005C4708">
        <w:rPr>
          <w:rFonts w:eastAsia="Times New Roman" w:cstheme="minorHAnsi"/>
          <w:kern w:val="0"/>
          <w:sz w:val="18"/>
          <w:szCs w:val="18"/>
          <w14:ligatures w14:val="none"/>
        </w:rPr>
        <w:t> J Biomed Sci 23, 49.</w:t>
      </w:r>
    </w:p>
    <w:p w14:paraId="22EDD2DC" w14:textId="77777777" w:rsidR="005C4708" w:rsidRPr="005C4708" w:rsidRDefault="005C4708" w:rsidP="005C4708">
      <w:pPr>
        <w:numPr>
          <w:ilvl w:val="0"/>
          <w:numId w:val="5"/>
        </w:numPr>
        <w:shd w:val="clear" w:color="auto" w:fill="FFFFFF"/>
        <w:spacing w:before="100" w:beforeAutospacing="1" w:after="240" w:line="240" w:lineRule="auto"/>
        <w:rPr>
          <w:rFonts w:eastAsia="Times New Roman" w:cstheme="minorHAnsi"/>
          <w:kern w:val="0"/>
          <w:sz w:val="18"/>
          <w:szCs w:val="18"/>
          <w14:ligatures w14:val="none"/>
        </w:rPr>
      </w:pPr>
      <w:r w:rsidRPr="005C4708">
        <w:rPr>
          <w:rFonts w:eastAsia="Times New Roman" w:cstheme="minorHAnsi"/>
          <w:kern w:val="0"/>
          <w:sz w:val="18"/>
          <w:szCs w:val="18"/>
          <w14:ligatures w14:val="none"/>
        </w:rPr>
        <w:t>Chen CC, Tzeng TT, Chen CC et al. (2016) </w:t>
      </w:r>
      <w:hyperlink r:id="rId11" w:history="1">
        <w:r w:rsidRPr="005C4708">
          <w:rPr>
            <w:rFonts w:eastAsia="Times New Roman" w:cstheme="minorHAnsi"/>
            <w:kern w:val="0"/>
            <w:sz w:val="18"/>
            <w:szCs w:val="18"/>
            <w:u w:val="single"/>
            <w14:ligatures w14:val="none"/>
          </w:rPr>
          <w:t xml:space="preserve">Erinacine S, a Rare </w:t>
        </w:r>
        <w:proofErr w:type="spellStart"/>
        <w:r w:rsidRPr="005C4708">
          <w:rPr>
            <w:rFonts w:eastAsia="Times New Roman" w:cstheme="minorHAnsi"/>
            <w:kern w:val="0"/>
            <w:sz w:val="18"/>
            <w:szCs w:val="18"/>
            <w:u w:val="single"/>
            <w14:ligatures w14:val="none"/>
          </w:rPr>
          <w:t>Sesterterpene</w:t>
        </w:r>
        <w:proofErr w:type="spellEnd"/>
        <w:r w:rsidRPr="005C4708">
          <w:rPr>
            <w:rFonts w:eastAsia="Times New Roman" w:cstheme="minorHAnsi"/>
            <w:kern w:val="0"/>
            <w:sz w:val="18"/>
            <w:szCs w:val="18"/>
            <w:u w:val="single"/>
            <w14:ligatures w14:val="none"/>
          </w:rPr>
          <w:t xml:space="preserve"> from the Mycelia of Hericium </w:t>
        </w:r>
        <w:proofErr w:type="spellStart"/>
        <w:r w:rsidRPr="005C4708">
          <w:rPr>
            <w:rFonts w:eastAsia="Times New Roman" w:cstheme="minorHAnsi"/>
            <w:kern w:val="0"/>
            <w:sz w:val="18"/>
            <w:szCs w:val="18"/>
            <w:u w:val="single"/>
            <w14:ligatures w14:val="none"/>
          </w:rPr>
          <w:t>erinaceus</w:t>
        </w:r>
        <w:proofErr w:type="spellEnd"/>
        <w:r w:rsidRPr="005C4708">
          <w:rPr>
            <w:rFonts w:eastAsia="Times New Roman" w:cstheme="minorHAnsi"/>
            <w:kern w:val="0"/>
            <w:sz w:val="18"/>
            <w:szCs w:val="18"/>
            <w:u w:val="single"/>
            <w14:ligatures w14:val="none"/>
          </w:rPr>
          <w:t>.</w:t>
        </w:r>
      </w:hyperlink>
      <w:r w:rsidRPr="005C4708">
        <w:rPr>
          <w:rFonts w:eastAsia="Times New Roman" w:cstheme="minorHAnsi"/>
          <w:kern w:val="0"/>
          <w:sz w:val="18"/>
          <w:szCs w:val="18"/>
          <w14:ligatures w14:val="none"/>
        </w:rPr>
        <w:t> J Nat Prod 79, 438-441.</w:t>
      </w:r>
    </w:p>
    <w:p w14:paraId="18BEFC38" w14:textId="77777777" w:rsidR="005C4708" w:rsidRPr="005C4708" w:rsidRDefault="005C4708" w:rsidP="005C4708">
      <w:pPr>
        <w:numPr>
          <w:ilvl w:val="0"/>
          <w:numId w:val="5"/>
        </w:numPr>
        <w:shd w:val="clear" w:color="auto" w:fill="FFFFFF"/>
        <w:spacing w:before="100" w:beforeAutospacing="1" w:after="240" w:line="240" w:lineRule="auto"/>
        <w:rPr>
          <w:rFonts w:eastAsia="Times New Roman" w:cstheme="minorHAnsi"/>
          <w:kern w:val="0"/>
          <w:sz w:val="18"/>
          <w:szCs w:val="18"/>
          <w14:ligatures w14:val="none"/>
        </w:rPr>
      </w:pPr>
      <w:r w:rsidRPr="005C4708">
        <w:rPr>
          <w:rFonts w:eastAsia="Times New Roman" w:cstheme="minorHAnsi"/>
          <w:kern w:val="0"/>
          <w:sz w:val="18"/>
          <w:szCs w:val="18"/>
          <w14:ligatures w14:val="none"/>
        </w:rPr>
        <w:t>Tzeng TT, Chen CC, Chen CC et al. (2018) </w:t>
      </w:r>
      <w:hyperlink r:id="rId12" w:history="1">
        <w:r w:rsidRPr="005C4708">
          <w:rPr>
            <w:rFonts w:eastAsia="Times New Roman" w:cstheme="minorHAnsi"/>
            <w:kern w:val="0"/>
            <w:sz w:val="18"/>
            <w:szCs w:val="18"/>
            <w:u w:val="single"/>
            <w14:ligatures w14:val="none"/>
          </w:rPr>
          <w:t xml:space="preserve">The </w:t>
        </w:r>
        <w:proofErr w:type="spellStart"/>
        <w:r w:rsidRPr="005C4708">
          <w:rPr>
            <w:rFonts w:eastAsia="Times New Roman" w:cstheme="minorHAnsi"/>
            <w:kern w:val="0"/>
            <w:sz w:val="18"/>
            <w:szCs w:val="18"/>
            <w:u w:val="single"/>
            <w14:ligatures w14:val="none"/>
          </w:rPr>
          <w:t>Cyanthin</w:t>
        </w:r>
        <w:proofErr w:type="spellEnd"/>
        <w:r w:rsidRPr="005C4708">
          <w:rPr>
            <w:rFonts w:eastAsia="Times New Roman" w:cstheme="minorHAnsi"/>
            <w:kern w:val="0"/>
            <w:sz w:val="18"/>
            <w:szCs w:val="18"/>
            <w:u w:val="single"/>
            <w14:ligatures w14:val="none"/>
          </w:rPr>
          <w:t xml:space="preserve"> Diterpenoid and </w:t>
        </w:r>
        <w:proofErr w:type="spellStart"/>
        <w:r w:rsidRPr="005C4708">
          <w:rPr>
            <w:rFonts w:eastAsia="Times New Roman" w:cstheme="minorHAnsi"/>
            <w:kern w:val="0"/>
            <w:sz w:val="18"/>
            <w:szCs w:val="18"/>
            <w:u w:val="single"/>
            <w14:ligatures w14:val="none"/>
          </w:rPr>
          <w:t>Sesterterpene</w:t>
        </w:r>
        <w:proofErr w:type="spellEnd"/>
        <w:r w:rsidRPr="005C4708">
          <w:rPr>
            <w:rFonts w:eastAsia="Times New Roman" w:cstheme="minorHAnsi"/>
            <w:kern w:val="0"/>
            <w:sz w:val="18"/>
            <w:szCs w:val="18"/>
            <w:u w:val="single"/>
            <w14:ligatures w14:val="none"/>
          </w:rPr>
          <w:t xml:space="preserve"> Constituents of Hericium </w:t>
        </w:r>
        <w:proofErr w:type="spellStart"/>
        <w:r w:rsidRPr="005C4708">
          <w:rPr>
            <w:rFonts w:eastAsia="Times New Roman" w:cstheme="minorHAnsi"/>
            <w:kern w:val="0"/>
            <w:sz w:val="18"/>
            <w:szCs w:val="18"/>
            <w:u w:val="single"/>
            <w14:ligatures w14:val="none"/>
          </w:rPr>
          <w:t>erinaceus</w:t>
        </w:r>
        <w:proofErr w:type="spellEnd"/>
        <w:r w:rsidRPr="005C4708">
          <w:rPr>
            <w:rFonts w:eastAsia="Times New Roman" w:cstheme="minorHAnsi"/>
            <w:kern w:val="0"/>
            <w:sz w:val="18"/>
            <w:szCs w:val="18"/>
            <w:u w:val="single"/>
            <w14:ligatures w14:val="none"/>
          </w:rPr>
          <w:t xml:space="preserve"> Mycelium Ameliorate Alzheimer's Disease-Related Pathologies in APP/PS1 Transgenic Mice.</w:t>
        </w:r>
      </w:hyperlink>
      <w:r w:rsidRPr="005C4708">
        <w:rPr>
          <w:rFonts w:eastAsia="Times New Roman" w:cstheme="minorHAnsi"/>
          <w:kern w:val="0"/>
          <w:sz w:val="18"/>
          <w:szCs w:val="18"/>
          <w14:ligatures w14:val="none"/>
        </w:rPr>
        <w:t> Int J Mol Sci 19.</w:t>
      </w:r>
    </w:p>
    <w:p w14:paraId="71DEAFF5" w14:textId="77777777" w:rsidR="005C4708" w:rsidRPr="005C4708" w:rsidRDefault="005C4708" w:rsidP="005C4708">
      <w:pPr>
        <w:numPr>
          <w:ilvl w:val="0"/>
          <w:numId w:val="5"/>
        </w:numPr>
        <w:shd w:val="clear" w:color="auto" w:fill="FFFFFF"/>
        <w:spacing w:before="100" w:beforeAutospacing="1" w:after="240" w:line="240" w:lineRule="auto"/>
        <w:rPr>
          <w:rFonts w:eastAsia="Times New Roman" w:cstheme="minorHAnsi"/>
          <w:kern w:val="0"/>
          <w:sz w:val="18"/>
          <w:szCs w:val="18"/>
          <w14:ligatures w14:val="none"/>
        </w:rPr>
      </w:pPr>
      <w:r w:rsidRPr="005C4708">
        <w:rPr>
          <w:rFonts w:eastAsia="Times New Roman" w:cstheme="minorHAnsi"/>
          <w:kern w:val="0"/>
          <w:sz w:val="18"/>
          <w:szCs w:val="18"/>
          <w14:ligatures w14:val="none"/>
        </w:rPr>
        <w:t>Mori K, Obara Y, Moriya T et al. (2011) </w:t>
      </w:r>
      <w:hyperlink r:id="rId13" w:history="1">
        <w:r w:rsidRPr="005C4708">
          <w:rPr>
            <w:rFonts w:eastAsia="Times New Roman" w:cstheme="minorHAnsi"/>
            <w:kern w:val="0"/>
            <w:sz w:val="18"/>
            <w:szCs w:val="18"/>
            <w:u w:val="single"/>
            <w14:ligatures w14:val="none"/>
          </w:rPr>
          <w:t xml:space="preserve">Effects of Hericium </w:t>
        </w:r>
        <w:proofErr w:type="spellStart"/>
        <w:r w:rsidRPr="005C4708">
          <w:rPr>
            <w:rFonts w:eastAsia="Times New Roman" w:cstheme="minorHAnsi"/>
            <w:kern w:val="0"/>
            <w:sz w:val="18"/>
            <w:szCs w:val="18"/>
            <w:u w:val="single"/>
            <w14:ligatures w14:val="none"/>
          </w:rPr>
          <w:t>erinaceus</w:t>
        </w:r>
        <w:proofErr w:type="spellEnd"/>
        <w:r w:rsidRPr="005C4708">
          <w:rPr>
            <w:rFonts w:eastAsia="Times New Roman" w:cstheme="minorHAnsi"/>
            <w:kern w:val="0"/>
            <w:sz w:val="18"/>
            <w:szCs w:val="18"/>
            <w:u w:val="single"/>
            <w14:ligatures w14:val="none"/>
          </w:rPr>
          <w:t xml:space="preserve"> on amyloid </w:t>
        </w:r>
        <w:proofErr w:type="gramStart"/>
        <w:r w:rsidRPr="005C4708">
          <w:rPr>
            <w:rFonts w:eastAsia="Times New Roman" w:cstheme="minorHAnsi"/>
            <w:kern w:val="0"/>
            <w:sz w:val="18"/>
            <w:szCs w:val="18"/>
            <w:u w:val="single"/>
            <w14:ligatures w14:val="none"/>
          </w:rPr>
          <w:t>beta(</w:t>
        </w:r>
        <w:proofErr w:type="gramEnd"/>
        <w:r w:rsidRPr="005C4708">
          <w:rPr>
            <w:rFonts w:eastAsia="Times New Roman" w:cstheme="minorHAnsi"/>
            <w:kern w:val="0"/>
            <w:sz w:val="18"/>
            <w:szCs w:val="18"/>
            <w:u w:val="single"/>
            <w14:ligatures w14:val="none"/>
          </w:rPr>
          <w:t>25-35) peptide-induced learning and memory deficits in mice.</w:t>
        </w:r>
      </w:hyperlink>
      <w:r w:rsidRPr="005C4708">
        <w:rPr>
          <w:rFonts w:eastAsia="Times New Roman" w:cstheme="minorHAnsi"/>
          <w:kern w:val="0"/>
          <w:sz w:val="18"/>
          <w:szCs w:val="18"/>
          <w14:ligatures w14:val="none"/>
        </w:rPr>
        <w:t> Biomed Res 32, 67-72.</w:t>
      </w:r>
    </w:p>
    <w:p w14:paraId="07112C04" w14:textId="77777777" w:rsidR="005C4708" w:rsidRPr="005C4708" w:rsidRDefault="005C4708" w:rsidP="005C4708">
      <w:pPr>
        <w:numPr>
          <w:ilvl w:val="0"/>
          <w:numId w:val="5"/>
        </w:numPr>
        <w:shd w:val="clear" w:color="auto" w:fill="FFFFFF"/>
        <w:spacing w:before="100" w:beforeAutospacing="1" w:after="240" w:line="240" w:lineRule="auto"/>
        <w:rPr>
          <w:rFonts w:eastAsia="Times New Roman" w:cstheme="minorHAnsi"/>
          <w:kern w:val="0"/>
          <w:sz w:val="18"/>
          <w:szCs w:val="18"/>
          <w14:ligatures w14:val="none"/>
        </w:rPr>
      </w:pPr>
      <w:r w:rsidRPr="005C4708">
        <w:rPr>
          <w:rFonts w:eastAsia="Times New Roman" w:cstheme="minorHAnsi"/>
          <w:kern w:val="0"/>
          <w:sz w:val="18"/>
          <w:szCs w:val="18"/>
          <w14:ligatures w14:val="none"/>
        </w:rPr>
        <w:t>Mori K, Obara Y, Hirota M et al. (2008) </w:t>
      </w:r>
      <w:hyperlink r:id="rId14" w:history="1">
        <w:r w:rsidRPr="005C4708">
          <w:rPr>
            <w:rFonts w:eastAsia="Times New Roman" w:cstheme="minorHAnsi"/>
            <w:kern w:val="0"/>
            <w:sz w:val="18"/>
            <w:szCs w:val="18"/>
            <w:u w:val="single"/>
            <w14:ligatures w14:val="none"/>
          </w:rPr>
          <w:t xml:space="preserve">Nerve growth factor-inducing activity of Hericium </w:t>
        </w:r>
        <w:proofErr w:type="spellStart"/>
        <w:r w:rsidRPr="005C4708">
          <w:rPr>
            <w:rFonts w:eastAsia="Times New Roman" w:cstheme="minorHAnsi"/>
            <w:kern w:val="0"/>
            <w:sz w:val="18"/>
            <w:szCs w:val="18"/>
            <w:u w:val="single"/>
            <w14:ligatures w14:val="none"/>
          </w:rPr>
          <w:t>erinaceus</w:t>
        </w:r>
        <w:proofErr w:type="spellEnd"/>
        <w:r w:rsidRPr="005C4708">
          <w:rPr>
            <w:rFonts w:eastAsia="Times New Roman" w:cstheme="minorHAnsi"/>
            <w:kern w:val="0"/>
            <w:sz w:val="18"/>
            <w:szCs w:val="18"/>
            <w:u w:val="single"/>
            <w14:ligatures w14:val="none"/>
          </w:rPr>
          <w:t xml:space="preserve"> in 1321N1 human astrocytoma cells.</w:t>
        </w:r>
      </w:hyperlink>
      <w:r w:rsidRPr="005C4708">
        <w:rPr>
          <w:rFonts w:eastAsia="Times New Roman" w:cstheme="minorHAnsi"/>
          <w:kern w:val="0"/>
          <w:sz w:val="18"/>
          <w:szCs w:val="18"/>
          <w14:ligatures w14:val="none"/>
        </w:rPr>
        <w:t> Biol Pharm Bull 31, 1727-1732.</w:t>
      </w:r>
    </w:p>
    <w:p w14:paraId="1A4FAFB6" w14:textId="77777777" w:rsidR="005C4708" w:rsidRDefault="005C4708">
      <w:pPr>
        <w:rPr>
          <w:rFonts w:cstheme="minorHAnsi"/>
          <w:sz w:val="18"/>
          <w:szCs w:val="18"/>
        </w:rPr>
      </w:pPr>
    </w:p>
    <w:p w14:paraId="25EA4DA3" w14:textId="76EBE36D" w:rsidR="00097662" w:rsidRPr="00097662" w:rsidRDefault="00097662" w:rsidP="00097662">
      <w:pPr>
        <w:shd w:val="clear" w:color="auto" w:fill="FFFFFF"/>
        <w:spacing w:after="450" w:line="390" w:lineRule="atLeast"/>
        <w:rPr>
          <w:rFonts w:eastAsia="Times New Roman" w:cstheme="minorHAnsi"/>
          <w:kern w:val="0"/>
          <w:sz w:val="24"/>
          <w:szCs w:val="24"/>
          <w14:ligatures w14:val="none"/>
        </w:rPr>
      </w:pPr>
      <w:r w:rsidRPr="00097662">
        <w:rPr>
          <w:rFonts w:eastAsia="Times New Roman" w:cstheme="minorHAnsi"/>
          <w:kern w:val="0"/>
          <w:sz w:val="24"/>
          <w:szCs w:val="24"/>
          <w14:ligatures w14:val="none"/>
        </w:rPr>
        <w:t xml:space="preserve">An observational study in healthy elderly Asian people suggest that those who eat more </w:t>
      </w:r>
      <w:r w:rsidRPr="00097662">
        <w:rPr>
          <w:rFonts w:eastAsia="Times New Roman" w:cstheme="minorHAnsi"/>
          <w:b/>
          <w:bCs/>
          <w:kern w:val="0"/>
          <w:sz w:val="24"/>
          <w:szCs w:val="24"/>
          <w14:ligatures w14:val="none"/>
        </w:rPr>
        <w:t>curcumin</w:t>
      </w:r>
      <w:r w:rsidRPr="00097662">
        <w:rPr>
          <w:rFonts w:eastAsia="Times New Roman" w:cstheme="minorHAnsi"/>
          <w:kern w:val="0"/>
          <w:sz w:val="24"/>
          <w:szCs w:val="24"/>
          <w14:ligatures w14:val="none"/>
        </w:rPr>
        <w:t xml:space="preserve"> (in the form of curry) may have improved cognitive function</w:t>
      </w:r>
      <w:r w:rsidRPr="00097662">
        <w:rPr>
          <w:rFonts w:eastAsia="Times New Roman" w:cstheme="minorHAnsi"/>
          <w:kern w:val="0"/>
          <w:sz w:val="18"/>
          <w:szCs w:val="18"/>
          <w14:ligatures w14:val="none"/>
        </w:rPr>
        <w:t>6</w:t>
      </w:r>
      <w:r w:rsidRPr="00097662">
        <w:rPr>
          <w:rFonts w:eastAsia="Times New Roman" w:cstheme="minorHAnsi"/>
          <w:kern w:val="0"/>
          <w:sz w:val="24"/>
          <w:szCs w:val="24"/>
          <w14:ligatures w14:val="none"/>
        </w:rPr>
        <w:t>. In addition, two small clinical trials suggest that absorbable curcumin may improve some measures of cognition </w:t>
      </w:r>
      <w:r w:rsidRPr="00097662">
        <w:rPr>
          <w:rFonts w:eastAsia="Times New Roman" w:cstheme="minorHAnsi"/>
          <w:kern w:val="0"/>
          <w:sz w:val="18"/>
          <w:szCs w:val="18"/>
          <w14:ligatures w14:val="none"/>
        </w:rPr>
        <w:t>7</w:t>
      </w:r>
      <w:r w:rsidRPr="00097662">
        <w:rPr>
          <w:rFonts w:eastAsia="Times New Roman" w:cstheme="minorHAnsi"/>
          <w:kern w:val="0"/>
          <w:sz w:val="24"/>
          <w:szCs w:val="24"/>
          <w14:ligatures w14:val="none"/>
        </w:rPr>
        <w:t> in healthy older adults but the effects were miniscule and unlikely to be noticeable. No clinical studies suggest that curry, turmeric, or highly bioavailable curcumin supplements can prevent Alzheimer’s disease.</w:t>
      </w:r>
    </w:p>
    <w:p w14:paraId="28B139E9" w14:textId="04338352" w:rsidR="00097662" w:rsidRPr="00097662" w:rsidRDefault="00097662" w:rsidP="00097662">
      <w:pPr>
        <w:shd w:val="clear" w:color="auto" w:fill="FFFFFF"/>
        <w:spacing w:after="450" w:line="390" w:lineRule="atLeast"/>
        <w:rPr>
          <w:rFonts w:eastAsia="Times New Roman" w:cstheme="minorHAnsi"/>
          <w:kern w:val="0"/>
          <w:sz w:val="24"/>
          <w:szCs w:val="24"/>
          <w14:ligatures w14:val="none"/>
        </w:rPr>
      </w:pPr>
      <w:r w:rsidRPr="00097662">
        <w:rPr>
          <w:rFonts w:eastAsia="Times New Roman" w:cstheme="minorHAnsi"/>
          <w:kern w:val="0"/>
          <w:sz w:val="24"/>
          <w:szCs w:val="24"/>
          <w14:ligatures w14:val="none"/>
        </w:rPr>
        <w:t>Preclinical evidence suggests that curcumin might offer several cognitive benefits, including reduced damage from oxidative stress, inflammation, and brain levels of beta-amyloid </w:t>
      </w:r>
      <w:r w:rsidRPr="00097662">
        <w:rPr>
          <w:rFonts w:eastAsia="Times New Roman" w:cstheme="minorHAnsi"/>
          <w:kern w:val="0"/>
          <w:sz w:val="18"/>
          <w:szCs w:val="18"/>
          <w14:ligatures w14:val="none"/>
        </w:rPr>
        <w:t>1,2,3</w:t>
      </w:r>
      <w:r w:rsidRPr="00097662">
        <w:rPr>
          <w:rFonts w:eastAsia="Times New Roman" w:cstheme="minorHAnsi"/>
          <w:kern w:val="0"/>
          <w:sz w:val="24"/>
          <w:szCs w:val="24"/>
          <w14:ligatures w14:val="none"/>
        </w:rPr>
        <w:t xml:space="preserve">, as </w:t>
      </w:r>
      <w:r w:rsidRPr="00097662">
        <w:rPr>
          <w:rFonts w:eastAsia="Times New Roman" w:cstheme="minorHAnsi"/>
          <w:kern w:val="0"/>
          <w:sz w:val="24"/>
          <w:szCs w:val="24"/>
          <w14:ligatures w14:val="none"/>
        </w:rPr>
        <w:lastRenderedPageBreak/>
        <w:t>well as extended lifespan and improved memory </w:t>
      </w:r>
      <w:r w:rsidRPr="00097662">
        <w:rPr>
          <w:rFonts w:eastAsia="Times New Roman" w:cstheme="minorHAnsi"/>
          <w:kern w:val="0"/>
          <w:sz w:val="18"/>
          <w:szCs w:val="18"/>
          <w14:ligatures w14:val="none"/>
        </w:rPr>
        <w:t>4,5</w:t>
      </w:r>
      <w:r w:rsidRPr="00097662">
        <w:rPr>
          <w:rFonts w:eastAsia="Times New Roman" w:cstheme="minorHAnsi"/>
          <w:kern w:val="0"/>
          <w:sz w:val="24"/>
          <w:szCs w:val="24"/>
          <w14:ligatures w14:val="none"/>
        </w:rPr>
        <w:t>. Very little clinical evidence shows whether those benefits extend to humans.</w:t>
      </w:r>
    </w:p>
    <w:p w14:paraId="5DF3910F" w14:textId="77777777" w:rsidR="00097662" w:rsidRPr="00097662" w:rsidRDefault="00097662" w:rsidP="00097662">
      <w:pPr>
        <w:numPr>
          <w:ilvl w:val="0"/>
          <w:numId w:val="6"/>
        </w:numPr>
        <w:shd w:val="clear" w:color="auto" w:fill="FFFFFF"/>
        <w:spacing w:before="100" w:beforeAutospacing="1" w:after="240" w:line="240" w:lineRule="auto"/>
        <w:rPr>
          <w:rFonts w:eastAsia="Times New Roman" w:cstheme="minorHAnsi"/>
          <w:kern w:val="0"/>
          <w:sz w:val="18"/>
          <w:szCs w:val="18"/>
          <w14:ligatures w14:val="none"/>
        </w:rPr>
      </w:pPr>
      <w:r w:rsidRPr="00097662">
        <w:rPr>
          <w:rFonts w:eastAsia="Times New Roman" w:cstheme="minorHAnsi"/>
          <w:kern w:val="0"/>
          <w:sz w:val="18"/>
          <w:szCs w:val="18"/>
          <w14:ligatures w14:val="none"/>
        </w:rPr>
        <w:t>Begum AN, Jones MR, Lim GP et al. (2008) </w:t>
      </w:r>
      <w:hyperlink r:id="rId15" w:tgtFrame="_blank" w:history="1">
        <w:r w:rsidRPr="00097662">
          <w:rPr>
            <w:rFonts w:eastAsia="Times New Roman" w:cstheme="minorHAnsi"/>
            <w:kern w:val="0"/>
            <w:sz w:val="18"/>
            <w:szCs w:val="18"/>
            <w:u w:val="single"/>
            <w14:ligatures w14:val="none"/>
          </w:rPr>
          <w:t>Curcumin structure-function, bioavailability, and efficacy in models of neuroinflammation and Alzheimer's disease</w:t>
        </w:r>
      </w:hyperlink>
      <w:r w:rsidRPr="00097662">
        <w:rPr>
          <w:rFonts w:eastAsia="Times New Roman" w:cstheme="minorHAnsi"/>
          <w:kern w:val="0"/>
          <w:sz w:val="18"/>
          <w:szCs w:val="18"/>
          <w14:ligatures w14:val="none"/>
        </w:rPr>
        <w:t>. </w:t>
      </w:r>
      <w:r w:rsidRPr="00097662">
        <w:rPr>
          <w:rFonts w:eastAsia="Times New Roman" w:cstheme="minorHAnsi"/>
          <w:i/>
          <w:iCs/>
          <w:kern w:val="0"/>
          <w:sz w:val="18"/>
          <w:szCs w:val="18"/>
          <w14:ligatures w14:val="none"/>
        </w:rPr>
        <w:t>The Journal of pharmacology and experimental therapeutics</w:t>
      </w:r>
      <w:r w:rsidRPr="00097662">
        <w:rPr>
          <w:rFonts w:eastAsia="Times New Roman" w:cstheme="minorHAnsi"/>
          <w:kern w:val="0"/>
          <w:sz w:val="18"/>
          <w:szCs w:val="18"/>
          <w14:ligatures w14:val="none"/>
        </w:rPr>
        <w:t> 326, 196-208.</w:t>
      </w:r>
    </w:p>
    <w:p w14:paraId="6410C829" w14:textId="77777777" w:rsidR="00097662" w:rsidRPr="00097662" w:rsidRDefault="00097662" w:rsidP="00097662">
      <w:pPr>
        <w:numPr>
          <w:ilvl w:val="0"/>
          <w:numId w:val="6"/>
        </w:numPr>
        <w:shd w:val="clear" w:color="auto" w:fill="FFFFFF"/>
        <w:spacing w:before="100" w:beforeAutospacing="1" w:after="240" w:line="240" w:lineRule="auto"/>
        <w:rPr>
          <w:rFonts w:eastAsia="Times New Roman" w:cstheme="minorHAnsi"/>
          <w:kern w:val="0"/>
          <w:sz w:val="18"/>
          <w:szCs w:val="18"/>
          <w14:ligatures w14:val="none"/>
        </w:rPr>
      </w:pPr>
      <w:r w:rsidRPr="00097662">
        <w:rPr>
          <w:rFonts w:eastAsia="Times New Roman" w:cstheme="minorHAnsi"/>
          <w:kern w:val="0"/>
          <w:sz w:val="18"/>
          <w:szCs w:val="18"/>
          <w14:ligatures w14:val="none"/>
        </w:rPr>
        <w:t>Lim GP, Chu T, Yang F et al. (2001) </w:t>
      </w:r>
      <w:hyperlink r:id="rId16" w:tgtFrame="_blank" w:history="1">
        <w:r w:rsidRPr="00097662">
          <w:rPr>
            <w:rFonts w:eastAsia="Times New Roman" w:cstheme="minorHAnsi"/>
            <w:kern w:val="0"/>
            <w:sz w:val="18"/>
            <w:szCs w:val="18"/>
            <w:u w:val="single"/>
            <w14:ligatures w14:val="none"/>
          </w:rPr>
          <w:t>The curry spice curcumin reduces oxidative damage and amyloid pathology in an Alzheimer transgenic mouse</w:t>
        </w:r>
      </w:hyperlink>
      <w:r w:rsidRPr="00097662">
        <w:rPr>
          <w:rFonts w:eastAsia="Times New Roman" w:cstheme="minorHAnsi"/>
          <w:kern w:val="0"/>
          <w:sz w:val="18"/>
          <w:szCs w:val="18"/>
          <w14:ligatures w14:val="none"/>
        </w:rPr>
        <w:t>. </w:t>
      </w:r>
      <w:r w:rsidRPr="00097662">
        <w:rPr>
          <w:rFonts w:eastAsia="Times New Roman" w:cstheme="minorHAnsi"/>
          <w:i/>
          <w:iCs/>
          <w:kern w:val="0"/>
          <w:sz w:val="18"/>
          <w:szCs w:val="18"/>
          <w14:ligatures w14:val="none"/>
        </w:rPr>
        <w:t xml:space="preserve">The Journal of </w:t>
      </w:r>
      <w:proofErr w:type="gramStart"/>
      <w:r w:rsidRPr="00097662">
        <w:rPr>
          <w:rFonts w:eastAsia="Times New Roman" w:cstheme="minorHAnsi"/>
          <w:i/>
          <w:iCs/>
          <w:kern w:val="0"/>
          <w:sz w:val="18"/>
          <w:szCs w:val="18"/>
          <w14:ligatures w14:val="none"/>
        </w:rPr>
        <w:t>neuroscience :</w:t>
      </w:r>
      <w:proofErr w:type="gramEnd"/>
      <w:r w:rsidRPr="00097662">
        <w:rPr>
          <w:rFonts w:eastAsia="Times New Roman" w:cstheme="minorHAnsi"/>
          <w:i/>
          <w:iCs/>
          <w:kern w:val="0"/>
          <w:sz w:val="18"/>
          <w:szCs w:val="18"/>
          <w14:ligatures w14:val="none"/>
        </w:rPr>
        <w:t xml:space="preserve"> the official journal of the Society for Neuroscience</w:t>
      </w:r>
      <w:r w:rsidRPr="00097662">
        <w:rPr>
          <w:rFonts w:eastAsia="Times New Roman" w:cstheme="minorHAnsi"/>
          <w:kern w:val="0"/>
          <w:sz w:val="18"/>
          <w:szCs w:val="18"/>
          <w14:ligatures w14:val="none"/>
        </w:rPr>
        <w:t> 21, 8370-8377.</w:t>
      </w:r>
    </w:p>
    <w:p w14:paraId="72DBB352" w14:textId="77777777" w:rsidR="00097662" w:rsidRPr="00097662" w:rsidRDefault="00097662" w:rsidP="00097662">
      <w:pPr>
        <w:numPr>
          <w:ilvl w:val="0"/>
          <w:numId w:val="6"/>
        </w:numPr>
        <w:shd w:val="clear" w:color="auto" w:fill="FFFFFF"/>
        <w:spacing w:before="100" w:beforeAutospacing="1" w:after="240" w:line="240" w:lineRule="auto"/>
        <w:rPr>
          <w:rFonts w:eastAsia="Times New Roman" w:cstheme="minorHAnsi"/>
          <w:kern w:val="0"/>
          <w:sz w:val="18"/>
          <w:szCs w:val="18"/>
          <w14:ligatures w14:val="none"/>
        </w:rPr>
      </w:pPr>
      <w:r w:rsidRPr="00097662">
        <w:rPr>
          <w:rFonts w:eastAsia="Times New Roman" w:cstheme="minorHAnsi"/>
          <w:kern w:val="0"/>
          <w:sz w:val="18"/>
          <w:szCs w:val="18"/>
          <w14:ligatures w14:val="none"/>
        </w:rPr>
        <w:t>Yang F, Lim GP, Begum AN et al. (2005) </w:t>
      </w:r>
      <w:hyperlink r:id="rId17" w:tgtFrame="_blank" w:history="1">
        <w:r w:rsidRPr="00097662">
          <w:rPr>
            <w:rFonts w:eastAsia="Times New Roman" w:cstheme="minorHAnsi"/>
            <w:kern w:val="0"/>
            <w:sz w:val="18"/>
            <w:szCs w:val="18"/>
            <w:u w:val="single"/>
            <w14:ligatures w14:val="none"/>
          </w:rPr>
          <w:t>Curcumin inhibits formation of amyloid beta oligomers and fibrils, binds plaques, and reduces amyloid in vivo</w:t>
        </w:r>
      </w:hyperlink>
      <w:r w:rsidRPr="00097662">
        <w:rPr>
          <w:rFonts w:eastAsia="Times New Roman" w:cstheme="minorHAnsi"/>
          <w:kern w:val="0"/>
          <w:sz w:val="18"/>
          <w:szCs w:val="18"/>
          <w14:ligatures w14:val="none"/>
        </w:rPr>
        <w:t>. </w:t>
      </w:r>
      <w:r w:rsidRPr="00097662">
        <w:rPr>
          <w:rFonts w:eastAsia="Times New Roman" w:cstheme="minorHAnsi"/>
          <w:i/>
          <w:iCs/>
          <w:kern w:val="0"/>
          <w:sz w:val="18"/>
          <w:szCs w:val="18"/>
          <w14:ligatures w14:val="none"/>
        </w:rPr>
        <w:t>The Journal of biological chemistry</w:t>
      </w:r>
      <w:r w:rsidRPr="00097662">
        <w:rPr>
          <w:rFonts w:eastAsia="Times New Roman" w:cstheme="minorHAnsi"/>
          <w:kern w:val="0"/>
          <w:sz w:val="18"/>
          <w:szCs w:val="18"/>
          <w14:ligatures w14:val="none"/>
        </w:rPr>
        <w:t> 280, 5892-5901.</w:t>
      </w:r>
    </w:p>
    <w:p w14:paraId="717B363D" w14:textId="77777777" w:rsidR="00097662" w:rsidRPr="00097662" w:rsidRDefault="00097662" w:rsidP="00097662">
      <w:pPr>
        <w:numPr>
          <w:ilvl w:val="0"/>
          <w:numId w:val="6"/>
        </w:numPr>
        <w:shd w:val="clear" w:color="auto" w:fill="FFFFFF"/>
        <w:spacing w:before="100" w:beforeAutospacing="1" w:after="240" w:line="240" w:lineRule="auto"/>
        <w:rPr>
          <w:rFonts w:eastAsia="Times New Roman" w:cstheme="minorHAnsi"/>
          <w:kern w:val="0"/>
          <w:sz w:val="18"/>
          <w:szCs w:val="18"/>
          <w14:ligatures w14:val="none"/>
        </w:rPr>
      </w:pPr>
      <w:proofErr w:type="spellStart"/>
      <w:r w:rsidRPr="00097662">
        <w:rPr>
          <w:rFonts w:eastAsia="Times New Roman" w:cstheme="minorHAnsi"/>
          <w:kern w:val="0"/>
          <w:sz w:val="18"/>
          <w:szCs w:val="18"/>
          <w14:ligatures w14:val="none"/>
        </w:rPr>
        <w:t>Frautschy</w:t>
      </w:r>
      <w:proofErr w:type="spellEnd"/>
      <w:r w:rsidRPr="00097662">
        <w:rPr>
          <w:rFonts w:eastAsia="Times New Roman" w:cstheme="minorHAnsi"/>
          <w:kern w:val="0"/>
          <w:sz w:val="18"/>
          <w:szCs w:val="18"/>
          <w14:ligatures w14:val="none"/>
        </w:rPr>
        <w:t xml:space="preserve"> SA, Hu W, Kim P et al. (2001) </w:t>
      </w:r>
      <w:hyperlink r:id="rId18" w:tgtFrame="_blank" w:history="1">
        <w:r w:rsidRPr="00097662">
          <w:rPr>
            <w:rFonts w:eastAsia="Times New Roman" w:cstheme="minorHAnsi"/>
            <w:kern w:val="0"/>
            <w:sz w:val="18"/>
            <w:szCs w:val="18"/>
            <w:u w:val="single"/>
            <w14:ligatures w14:val="none"/>
          </w:rPr>
          <w:t>Phenolic anti-inflammatory antioxidant reversal of Abeta-induced cognitive deficits and neuropathology</w:t>
        </w:r>
      </w:hyperlink>
      <w:r w:rsidRPr="00097662">
        <w:rPr>
          <w:rFonts w:eastAsia="Times New Roman" w:cstheme="minorHAnsi"/>
          <w:kern w:val="0"/>
          <w:sz w:val="18"/>
          <w:szCs w:val="18"/>
          <w14:ligatures w14:val="none"/>
        </w:rPr>
        <w:t>. </w:t>
      </w:r>
      <w:r w:rsidRPr="00097662">
        <w:rPr>
          <w:rFonts w:eastAsia="Times New Roman" w:cstheme="minorHAnsi"/>
          <w:i/>
          <w:iCs/>
          <w:kern w:val="0"/>
          <w:sz w:val="18"/>
          <w:szCs w:val="18"/>
          <w14:ligatures w14:val="none"/>
        </w:rPr>
        <w:t>Neurobiology of aging</w:t>
      </w:r>
      <w:r w:rsidRPr="00097662">
        <w:rPr>
          <w:rFonts w:eastAsia="Times New Roman" w:cstheme="minorHAnsi"/>
          <w:kern w:val="0"/>
          <w:sz w:val="18"/>
          <w:szCs w:val="18"/>
          <w14:ligatures w14:val="none"/>
        </w:rPr>
        <w:t> 22, 993-1005.</w:t>
      </w:r>
    </w:p>
    <w:p w14:paraId="1EDCC044" w14:textId="77777777" w:rsidR="00097662" w:rsidRPr="00097662" w:rsidRDefault="00097662" w:rsidP="00097662">
      <w:pPr>
        <w:numPr>
          <w:ilvl w:val="0"/>
          <w:numId w:val="6"/>
        </w:numPr>
        <w:shd w:val="clear" w:color="auto" w:fill="FFFFFF"/>
        <w:spacing w:before="100" w:beforeAutospacing="1" w:after="240" w:line="240" w:lineRule="auto"/>
        <w:rPr>
          <w:rFonts w:eastAsia="Times New Roman" w:cstheme="minorHAnsi"/>
          <w:kern w:val="0"/>
          <w:sz w:val="18"/>
          <w:szCs w:val="18"/>
          <w14:ligatures w14:val="none"/>
        </w:rPr>
      </w:pPr>
      <w:r w:rsidRPr="00097662">
        <w:rPr>
          <w:rFonts w:eastAsia="Times New Roman" w:cstheme="minorHAnsi"/>
          <w:kern w:val="0"/>
          <w:sz w:val="18"/>
          <w:szCs w:val="18"/>
          <w14:ligatures w14:val="none"/>
        </w:rPr>
        <w:t xml:space="preserve">Kitani K, Osawa T, </w:t>
      </w:r>
      <w:proofErr w:type="spellStart"/>
      <w:r w:rsidRPr="00097662">
        <w:rPr>
          <w:rFonts w:eastAsia="Times New Roman" w:cstheme="minorHAnsi"/>
          <w:kern w:val="0"/>
          <w:sz w:val="18"/>
          <w:szCs w:val="18"/>
          <w14:ligatures w14:val="none"/>
        </w:rPr>
        <w:t>Yokozawa</w:t>
      </w:r>
      <w:proofErr w:type="spellEnd"/>
      <w:r w:rsidRPr="00097662">
        <w:rPr>
          <w:rFonts w:eastAsia="Times New Roman" w:cstheme="minorHAnsi"/>
          <w:kern w:val="0"/>
          <w:sz w:val="18"/>
          <w:szCs w:val="18"/>
          <w14:ligatures w14:val="none"/>
        </w:rPr>
        <w:t xml:space="preserve"> T (2007) </w:t>
      </w:r>
      <w:hyperlink r:id="rId19" w:tgtFrame="_blank" w:history="1">
        <w:r w:rsidRPr="00097662">
          <w:rPr>
            <w:rFonts w:eastAsia="Times New Roman" w:cstheme="minorHAnsi"/>
            <w:kern w:val="0"/>
            <w:sz w:val="18"/>
            <w:szCs w:val="18"/>
            <w:u w:val="single"/>
            <w14:ligatures w14:val="none"/>
          </w:rPr>
          <w:t xml:space="preserve">The effects of </w:t>
        </w:r>
        <w:proofErr w:type="spellStart"/>
        <w:r w:rsidRPr="00097662">
          <w:rPr>
            <w:rFonts w:eastAsia="Times New Roman" w:cstheme="minorHAnsi"/>
            <w:kern w:val="0"/>
            <w:sz w:val="18"/>
            <w:szCs w:val="18"/>
            <w:u w:val="single"/>
            <w14:ligatures w14:val="none"/>
          </w:rPr>
          <w:t>tetrahydrocurcumin</w:t>
        </w:r>
        <w:proofErr w:type="spellEnd"/>
        <w:r w:rsidRPr="00097662">
          <w:rPr>
            <w:rFonts w:eastAsia="Times New Roman" w:cstheme="minorHAnsi"/>
            <w:kern w:val="0"/>
            <w:sz w:val="18"/>
            <w:szCs w:val="18"/>
            <w:u w:val="single"/>
            <w14:ligatures w14:val="none"/>
          </w:rPr>
          <w:t xml:space="preserve"> and green tea polyphenol on the survival of male C57BL/6 mice</w:t>
        </w:r>
      </w:hyperlink>
      <w:r w:rsidRPr="00097662">
        <w:rPr>
          <w:rFonts w:eastAsia="Times New Roman" w:cstheme="minorHAnsi"/>
          <w:kern w:val="0"/>
          <w:sz w:val="18"/>
          <w:szCs w:val="18"/>
          <w14:ligatures w14:val="none"/>
        </w:rPr>
        <w:t>. </w:t>
      </w:r>
      <w:r w:rsidRPr="00097662">
        <w:rPr>
          <w:rFonts w:eastAsia="Times New Roman" w:cstheme="minorHAnsi"/>
          <w:i/>
          <w:iCs/>
          <w:kern w:val="0"/>
          <w:sz w:val="18"/>
          <w:szCs w:val="18"/>
          <w14:ligatures w14:val="none"/>
        </w:rPr>
        <w:t>Biogerontology</w:t>
      </w:r>
      <w:r w:rsidRPr="00097662">
        <w:rPr>
          <w:rFonts w:eastAsia="Times New Roman" w:cstheme="minorHAnsi"/>
          <w:kern w:val="0"/>
          <w:sz w:val="18"/>
          <w:szCs w:val="18"/>
          <w14:ligatures w14:val="none"/>
        </w:rPr>
        <w:t> 8, 567-573.</w:t>
      </w:r>
    </w:p>
    <w:p w14:paraId="15C8BF28" w14:textId="77777777" w:rsidR="00097662" w:rsidRPr="00097662" w:rsidRDefault="00097662" w:rsidP="00097662">
      <w:pPr>
        <w:numPr>
          <w:ilvl w:val="0"/>
          <w:numId w:val="6"/>
        </w:numPr>
        <w:shd w:val="clear" w:color="auto" w:fill="FFFFFF"/>
        <w:spacing w:before="100" w:beforeAutospacing="1" w:after="240" w:line="240" w:lineRule="auto"/>
        <w:rPr>
          <w:rFonts w:eastAsia="Times New Roman" w:cstheme="minorHAnsi"/>
          <w:kern w:val="0"/>
          <w:sz w:val="18"/>
          <w:szCs w:val="18"/>
          <w14:ligatures w14:val="none"/>
        </w:rPr>
      </w:pPr>
      <w:r w:rsidRPr="00097662">
        <w:rPr>
          <w:rFonts w:eastAsia="Times New Roman" w:cstheme="minorHAnsi"/>
          <w:kern w:val="0"/>
          <w:sz w:val="18"/>
          <w:szCs w:val="18"/>
          <w14:ligatures w14:val="none"/>
        </w:rPr>
        <w:t>Ng TP, Chiam PC, Lee T et al. (2006) </w:t>
      </w:r>
      <w:hyperlink r:id="rId20" w:tgtFrame="_blank" w:history="1">
        <w:r w:rsidRPr="00097662">
          <w:rPr>
            <w:rFonts w:eastAsia="Times New Roman" w:cstheme="minorHAnsi"/>
            <w:kern w:val="0"/>
            <w:sz w:val="18"/>
            <w:szCs w:val="18"/>
            <w:u w:val="single"/>
            <w14:ligatures w14:val="none"/>
          </w:rPr>
          <w:t>Curry consumption and cognitive function in the elderly</w:t>
        </w:r>
      </w:hyperlink>
      <w:r w:rsidRPr="00097662">
        <w:rPr>
          <w:rFonts w:eastAsia="Times New Roman" w:cstheme="minorHAnsi"/>
          <w:kern w:val="0"/>
          <w:sz w:val="18"/>
          <w:szCs w:val="18"/>
          <w14:ligatures w14:val="none"/>
        </w:rPr>
        <w:t>. </w:t>
      </w:r>
      <w:r w:rsidRPr="00097662">
        <w:rPr>
          <w:rFonts w:eastAsia="Times New Roman" w:cstheme="minorHAnsi"/>
          <w:i/>
          <w:iCs/>
          <w:kern w:val="0"/>
          <w:sz w:val="18"/>
          <w:szCs w:val="18"/>
          <w14:ligatures w14:val="none"/>
        </w:rPr>
        <w:t>American journal of epidemiology</w:t>
      </w:r>
      <w:r w:rsidRPr="00097662">
        <w:rPr>
          <w:rFonts w:eastAsia="Times New Roman" w:cstheme="minorHAnsi"/>
          <w:kern w:val="0"/>
          <w:sz w:val="18"/>
          <w:szCs w:val="18"/>
          <w14:ligatures w14:val="none"/>
        </w:rPr>
        <w:t> 164, 898-906.</w:t>
      </w:r>
    </w:p>
    <w:p w14:paraId="515A1BD3" w14:textId="77777777" w:rsidR="00097662" w:rsidRPr="00097662" w:rsidRDefault="00097662" w:rsidP="00097662">
      <w:pPr>
        <w:numPr>
          <w:ilvl w:val="0"/>
          <w:numId w:val="6"/>
        </w:numPr>
        <w:shd w:val="clear" w:color="auto" w:fill="FFFFFF"/>
        <w:spacing w:before="100" w:beforeAutospacing="1" w:after="240" w:line="240" w:lineRule="auto"/>
        <w:rPr>
          <w:rFonts w:eastAsia="Times New Roman" w:cstheme="minorHAnsi"/>
          <w:kern w:val="0"/>
          <w:sz w:val="18"/>
          <w:szCs w:val="18"/>
          <w14:ligatures w14:val="none"/>
        </w:rPr>
      </w:pPr>
      <w:r w:rsidRPr="00097662">
        <w:rPr>
          <w:rFonts w:eastAsia="Times New Roman" w:cstheme="minorHAnsi"/>
          <w:kern w:val="0"/>
          <w:sz w:val="18"/>
          <w:szCs w:val="18"/>
          <w14:ligatures w14:val="none"/>
        </w:rPr>
        <w:t xml:space="preserve">Cox KH, </w:t>
      </w:r>
      <w:proofErr w:type="spellStart"/>
      <w:r w:rsidRPr="00097662">
        <w:rPr>
          <w:rFonts w:eastAsia="Times New Roman" w:cstheme="minorHAnsi"/>
          <w:kern w:val="0"/>
          <w:sz w:val="18"/>
          <w:szCs w:val="18"/>
          <w14:ligatures w14:val="none"/>
        </w:rPr>
        <w:t>Pipingas</w:t>
      </w:r>
      <w:proofErr w:type="spellEnd"/>
      <w:r w:rsidRPr="00097662">
        <w:rPr>
          <w:rFonts w:eastAsia="Times New Roman" w:cstheme="minorHAnsi"/>
          <w:kern w:val="0"/>
          <w:sz w:val="18"/>
          <w:szCs w:val="18"/>
          <w14:ligatures w14:val="none"/>
        </w:rPr>
        <w:t xml:space="preserve"> A, Scholey AB (2014) </w:t>
      </w:r>
      <w:hyperlink r:id="rId21" w:tgtFrame="_blank" w:history="1">
        <w:r w:rsidRPr="00097662">
          <w:rPr>
            <w:rFonts w:eastAsia="Times New Roman" w:cstheme="minorHAnsi"/>
            <w:kern w:val="0"/>
            <w:sz w:val="18"/>
            <w:szCs w:val="18"/>
            <w:u w:val="single"/>
            <w14:ligatures w14:val="none"/>
          </w:rPr>
          <w:t>Investigation of the effects of solid lipid curcumin on cognition and mood in a healthy older population</w:t>
        </w:r>
      </w:hyperlink>
      <w:r w:rsidRPr="00097662">
        <w:rPr>
          <w:rFonts w:eastAsia="Times New Roman" w:cstheme="minorHAnsi"/>
          <w:kern w:val="0"/>
          <w:sz w:val="18"/>
          <w:szCs w:val="18"/>
          <w14:ligatures w14:val="none"/>
        </w:rPr>
        <w:t>. </w:t>
      </w:r>
      <w:r w:rsidRPr="00097662">
        <w:rPr>
          <w:rFonts w:eastAsia="Times New Roman" w:cstheme="minorHAnsi"/>
          <w:i/>
          <w:iCs/>
          <w:kern w:val="0"/>
          <w:sz w:val="18"/>
          <w:szCs w:val="18"/>
          <w14:ligatures w14:val="none"/>
        </w:rPr>
        <w:t>Journal of psychopharmacology.</w:t>
      </w:r>
    </w:p>
    <w:p w14:paraId="33179128" w14:textId="77777777" w:rsidR="00097662" w:rsidRDefault="00097662">
      <w:pPr>
        <w:rPr>
          <w:rFonts w:cstheme="minorHAnsi"/>
          <w:sz w:val="18"/>
          <w:szCs w:val="18"/>
        </w:rPr>
      </w:pPr>
    </w:p>
    <w:p w14:paraId="6087D5DD" w14:textId="05770936" w:rsidR="00097662" w:rsidRPr="00097662" w:rsidRDefault="00097662" w:rsidP="00097662">
      <w:pPr>
        <w:shd w:val="clear" w:color="auto" w:fill="FFFFFF"/>
        <w:spacing w:after="450" w:line="390" w:lineRule="atLeast"/>
        <w:rPr>
          <w:rFonts w:eastAsia="Times New Roman" w:cstheme="minorHAnsi"/>
          <w:kern w:val="0"/>
          <w:sz w:val="24"/>
          <w:szCs w:val="24"/>
          <w14:ligatures w14:val="none"/>
        </w:rPr>
      </w:pPr>
      <w:r w:rsidRPr="00097662">
        <w:rPr>
          <w:rFonts w:eastAsia="Times New Roman" w:cstheme="minorHAnsi"/>
          <w:kern w:val="0"/>
          <w:sz w:val="24"/>
          <w:szCs w:val="24"/>
          <w14:ligatures w14:val="none"/>
        </w:rPr>
        <w:t>There have been numerous clinical trials and observational studies on </w:t>
      </w:r>
      <w:r w:rsidRPr="00097662">
        <w:rPr>
          <w:rFonts w:eastAsia="Times New Roman" w:cstheme="minorHAnsi"/>
          <w:b/>
          <w:bCs/>
          <w:i/>
          <w:iCs/>
          <w:kern w:val="0"/>
          <w:sz w:val="24"/>
          <w:szCs w:val="24"/>
          <w14:ligatures w14:val="none"/>
        </w:rPr>
        <w:t>Panax ginseng</w:t>
      </w:r>
      <w:r w:rsidRPr="00097662">
        <w:rPr>
          <w:rFonts w:eastAsia="Times New Roman" w:cstheme="minorHAnsi"/>
          <w:kern w:val="0"/>
          <w:sz w:val="24"/>
          <w:szCs w:val="24"/>
          <w14:ligatures w14:val="none"/>
        </w:rPr>
        <w:t> supplementation. While some studies have reported benefit for cognitive functions</w:t>
      </w:r>
      <w:r>
        <w:rPr>
          <w:rFonts w:eastAsia="Times New Roman" w:cstheme="minorHAnsi"/>
          <w:kern w:val="0"/>
          <w:sz w:val="24"/>
          <w:szCs w:val="24"/>
          <w14:ligatures w14:val="none"/>
        </w:rPr>
        <w:t>1,2,3,4</w:t>
      </w:r>
      <w:r w:rsidRPr="00097662">
        <w:rPr>
          <w:rFonts w:eastAsia="Times New Roman" w:cstheme="minorHAnsi"/>
          <w:kern w:val="0"/>
          <w:sz w:val="24"/>
          <w:szCs w:val="24"/>
          <w14:ligatures w14:val="none"/>
        </w:rPr>
        <w:t>, many others have shown a lack of benefit</w:t>
      </w:r>
      <w:r>
        <w:rPr>
          <w:rFonts w:eastAsia="Times New Roman" w:cstheme="minorHAnsi"/>
          <w:kern w:val="0"/>
          <w:sz w:val="24"/>
          <w:szCs w:val="24"/>
          <w14:ligatures w14:val="none"/>
        </w:rPr>
        <w:t>5,6,7,8,9,10, 11</w:t>
      </w:r>
      <w:r w:rsidRPr="00097662">
        <w:rPr>
          <w:rFonts w:eastAsia="Times New Roman" w:cstheme="minorHAnsi"/>
          <w:kern w:val="0"/>
          <w:sz w:val="24"/>
          <w:szCs w:val="24"/>
          <w14:ligatures w14:val="none"/>
        </w:rPr>
        <w:t xml:space="preserve">, and </w:t>
      </w:r>
      <w:r w:rsidRPr="00097662">
        <w:rPr>
          <w:rFonts w:eastAsia="Times New Roman" w:cstheme="minorHAnsi"/>
          <w:kern w:val="0"/>
          <w:sz w:val="24"/>
          <w:szCs w:val="24"/>
          <w14:ligatures w14:val="none"/>
        </w:rPr>
        <w:t>overall,</w:t>
      </w:r>
      <w:r w:rsidRPr="00097662">
        <w:rPr>
          <w:rFonts w:eastAsia="Times New Roman" w:cstheme="minorHAnsi"/>
          <w:kern w:val="0"/>
          <w:sz w:val="24"/>
          <w:szCs w:val="24"/>
          <w14:ligatures w14:val="none"/>
        </w:rPr>
        <w:t xml:space="preserve"> there is a lack of high-level evidence that the benefits of </w:t>
      </w:r>
      <w:r w:rsidRPr="00097662">
        <w:rPr>
          <w:rFonts w:eastAsia="Times New Roman" w:cstheme="minorHAnsi"/>
          <w:i/>
          <w:iCs/>
          <w:kern w:val="0"/>
          <w:sz w:val="24"/>
          <w:szCs w:val="24"/>
          <w14:ligatures w14:val="none"/>
        </w:rPr>
        <w:t>Panax ginseng</w:t>
      </w:r>
      <w:r w:rsidRPr="00097662">
        <w:rPr>
          <w:rFonts w:eastAsia="Times New Roman" w:cstheme="minorHAnsi"/>
          <w:kern w:val="0"/>
          <w:sz w:val="24"/>
          <w:szCs w:val="24"/>
          <w14:ligatures w14:val="none"/>
        </w:rPr>
        <w:t> outweigh the risks. A meta-analysis of five double-blind randomized controlled trials in healthy subjects reported that </w:t>
      </w:r>
      <w:r w:rsidRPr="00097662">
        <w:rPr>
          <w:rFonts w:eastAsia="Times New Roman" w:cstheme="minorHAnsi"/>
          <w:i/>
          <w:iCs/>
          <w:kern w:val="0"/>
          <w:sz w:val="24"/>
          <w:szCs w:val="24"/>
          <w14:ligatures w14:val="none"/>
        </w:rPr>
        <w:t>Panax ginseng</w:t>
      </w:r>
      <w:r w:rsidRPr="00097662">
        <w:rPr>
          <w:rFonts w:eastAsia="Times New Roman" w:cstheme="minorHAnsi"/>
          <w:kern w:val="0"/>
          <w:sz w:val="24"/>
          <w:szCs w:val="24"/>
          <w14:ligatures w14:val="none"/>
        </w:rPr>
        <w:t> treatment for 8-12 weeks showed improvement in some aspects of cognitive function, behavior, and quality of life, though the evidence was not convincing or consistent across studies</w:t>
      </w:r>
      <w:r>
        <w:rPr>
          <w:rFonts w:eastAsia="Times New Roman" w:cstheme="minorHAnsi"/>
          <w:kern w:val="0"/>
          <w:sz w:val="24"/>
          <w:szCs w:val="24"/>
          <w14:ligatures w14:val="none"/>
        </w:rPr>
        <w:t>12</w:t>
      </w:r>
      <w:r w:rsidRPr="00097662">
        <w:rPr>
          <w:rFonts w:eastAsia="Times New Roman" w:cstheme="minorHAnsi"/>
          <w:kern w:val="0"/>
          <w:sz w:val="24"/>
          <w:szCs w:val="24"/>
          <w14:ligatures w14:val="none"/>
        </w:rPr>
        <w:t>.</w:t>
      </w:r>
    </w:p>
    <w:p w14:paraId="562479B8" w14:textId="40AD9845" w:rsidR="00097662" w:rsidRPr="00097662" w:rsidRDefault="00097662" w:rsidP="00097662">
      <w:pPr>
        <w:shd w:val="clear" w:color="auto" w:fill="FFFFFF"/>
        <w:spacing w:after="450" w:line="390" w:lineRule="atLeast"/>
        <w:rPr>
          <w:rFonts w:eastAsia="Times New Roman" w:cstheme="minorHAnsi"/>
          <w:kern w:val="0"/>
          <w:sz w:val="24"/>
          <w:szCs w:val="24"/>
          <w14:ligatures w14:val="none"/>
        </w:rPr>
      </w:pPr>
      <w:r w:rsidRPr="00097662">
        <w:rPr>
          <w:rFonts w:eastAsia="Times New Roman" w:cstheme="minorHAnsi"/>
          <w:kern w:val="0"/>
          <w:sz w:val="24"/>
          <w:szCs w:val="24"/>
          <w14:ligatures w14:val="none"/>
        </w:rPr>
        <w:t>One of the included trials showed that ginseng treatment (200 mg/day) significantly improved working memory and mental arithmetic, but not attention or concentration</w:t>
      </w:r>
      <w:r>
        <w:rPr>
          <w:rFonts w:eastAsia="Times New Roman" w:cstheme="minorHAnsi"/>
          <w:kern w:val="0"/>
          <w:sz w:val="24"/>
          <w:szCs w:val="24"/>
          <w14:ligatures w14:val="none"/>
        </w:rPr>
        <w:t>1</w:t>
      </w:r>
      <w:r w:rsidRPr="00097662">
        <w:rPr>
          <w:rFonts w:eastAsia="Times New Roman" w:cstheme="minorHAnsi"/>
          <w:kern w:val="0"/>
          <w:sz w:val="24"/>
          <w:szCs w:val="24"/>
          <w14:ligatures w14:val="none"/>
        </w:rPr>
        <w:t>, while a different study reported that ginseng treatment (400 mg/day) significantly improved attention but not memory</w:t>
      </w:r>
      <w:r>
        <w:rPr>
          <w:rFonts w:eastAsia="Times New Roman" w:cstheme="minorHAnsi"/>
          <w:kern w:val="0"/>
          <w:sz w:val="24"/>
          <w:szCs w:val="24"/>
          <w14:ligatures w14:val="none"/>
        </w:rPr>
        <w:t>2</w:t>
      </w:r>
      <w:r w:rsidRPr="00097662">
        <w:rPr>
          <w:rFonts w:eastAsia="Times New Roman" w:cstheme="minorHAnsi"/>
          <w:kern w:val="0"/>
          <w:sz w:val="24"/>
          <w:szCs w:val="24"/>
          <w14:ligatures w14:val="none"/>
        </w:rPr>
        <w:t>. In yet another study, ginseng treatment (400 mg/day) for 8-9 weeks improved selective reminding but not attention, concentration, or motor performance</w:t>
      </w:r>
      <w:r>
        <w:rPr>
          <w:rFonts w:eastAsia="Times New Roman" w:cstheme="minorHAnsi"/>
          <w:kern w:val="0"/>
          <w:sz w:val="24"/>
          <w:szCs w:val="24"/>
          <w14:ligatures w14:val="none"/>
        </w:rPr>
        <w:t>3</w:t>
      </w:r>
      <w:r w:rsidRPr="00097662">
        <w:rPr>
          <w:rFonts w:eastAsia="Times New Roman" w:cstheme="minorHAnsi"/>
          <w:kern w:val="0"/>
          <w:sz w:val="24"/>
          <w:szCs w:val="24"/>
          <w14:ligatures w14:val="none"/>
        </w:rPr>
        <w:t>.</w:t>
      </w:r>
    </w:p>
    <w:p w14:paraId="505E5A0A" w14:textId="65A2519B" w:rsidR="00097662" w:rsidRPr="00097662" w:rsidRDefault="00097662" w:rsidP="00097662">
      <w:pPr>
        <w:shd w:val="clear" w:color="auto" w:fill="FFFFFF"/>
        <w:spacing w:after="450" w:line="390" w:lineRule="atLeast"/>
        <w:rPr>
          <w:rFonts w:eastAsia="Times New Roman" w:cstheme="minorHAnsi"/>
          <w:kern w:val="0"/>
          <w:sz w:val="24"/>
          <w:szCs w:val="24"/>
          <w14:ligatures w14:val="none"/>
        </w:rPr>
      </w:pPr>
      <w:r w:rsidRPr="00097662">
        <w:rPr>
          <w:rFonts w:eastAsia="Times New Roman" w:cstheme="minorHAnsi"/>
          <w:kern w:val="0"/>
          <w:sz w:val="24"/>
          <w:szCs w:val="24"/>
          <w14:ligatures w14:val="none"/>
        </w:rPr>
        <w:lastRenderedPageBreak/>
        <w:t>Most recently, a double-blind randomized controlled trial of 52 healthy individuals reported that </w:t>
      </w:r>
      <w:r w:rsidRPr="00097662">
        <w:rPr>
          <w:rFonts w:eastAsia="Times New Roman" w:cstheme="minorHAnsi"/>
          <w:i/>
          <w:iCs/>
          <w:kern w:val="0"/>
          <w:sz w:val="24"/>
          <w:szCs w:val="24"/>
          <w14:ligatures w14:val="none"/>
        </w:rPr>
        <w:t>Panax ginseng</w:t>
      </w:r>
      <w:r w:rsidRPr="00097662">
        <w:rPr>
          <w:rFonts w:eastAsia="Times New Roman" w:cstheme="minorHAnsi"/>
          <w:kern w:val="0"/>
          <w:sz w:val="24"/>
          <w:szCs w:val="24"/>
          <w14:ligatures w14:val="none"/>
        </w:rPr>
        <w:t xml:space="preserve"> treatment (1 g/day) for eight weeks significantly increased the volume of a brain region important for memory and improved scores on executive function, attention, and memory, effects that were not seen in the placebo group </w:t>
      </w:r>
      <w:r>
        <w:rPr>
          <w:rFonts w:eastAsia="Times New Roman" w:cstheme="minorHAnsi"/>
          <w:kern w:val="0"/>
          <w:sz w:val="24"/>
          <w:szCs w:val="24"/>
          <w14:ligatures w14:val="none"/>
        </w:rPr>
        <w:t>4.</w:t>
      </w:r>
    </w:p>
    <w:p w14:paraId="3BDE63AE" w14:textId="77777777" w:rsidR="00097662" w:rsidRPr="00097662" w:rsidRDefault="00097662" w:rsidP="00097662">
      <w:pPr>
        <w:numPr>
          <w:ilvl w:val="0"/>
          <w:numId w:val="7"/>
        </w:numPr>
        <w:shd w:val="clear" w:color="auto" w:fill="FFFFFF"/>
        <w:spacing w:before="100" w:beforeAutospacing="1" w:after="240" w:line="240" w:lineRule="auto"/>
        <w:rPr>
          <w:rFonts w:eastAsia="Times New Roman" w:cstheme="minorHAnsi"/>
          <w:kern w:val="0"/>
          <w:sz w:val="18"/>
          <w:szCs w:val="18"/>
          <w14:ligatures w14:val="none"/>
        </w:rPr>
      </w:pPr>
      <w:r w:rsidRPr="00097662">
        <w:rPr>
          <w:rFonts w:eastAsia="Times New Roman" w:cstheme="minorHAnsi"/>
          <w:kern w:val="0"/>
          <w:sz w:val="18"/>
          <w:szCs w:val="18"/>
          <w14:ligatures w14:val="none"/>
        </w:rPr>
        <w:t xml:space="preserve">D'Angelo L, Grimaldi R, </w:t>
      </w:r>
      <w:proofErr w:type="spellStart"/>
      <w:r w:rsidRPr="00097662">
        <w:rPr>
          <w:rFonts w:eastAsia="Times New Roman" w:cstheme="minorHAnsi"/>
          <w:kern w:val="0"/>
          <w:sz w:val="18"/>
          <w:szCs w:val="18"/>
          <w14:ligatures w14:val="none"/>
        </w:rPr>
        <w:t>Caravaggi</w:t>
      </w:r>
      <w:proofErr w:type="spellEnd"/>
      <w:r w:rsidRPr="00097662">
        <w:rPr>
          <w:rFonts w:eastAsia="Times New Roman" w:cstheme="minorHAnsi"/>
          <w:kern w:val="0"/>
          <w:sz w:val="18"/>
          <w:szCs w:val="18"/>
          <w14:ligatures w14:val="none"/>
        </w:rPr>
        <w:t xml:space="preserve"> M</w:t>
      </w:r>
      <w:r w:rsidRPr="00097662">
        <w:rPr>
          <w:rFonts w:eastAsia="Times New Roman" w:cstheme="minorHAnsi"/>
          <w:i/>
          <w:iCs/>
          <w:kern w:val="0"/>
          <w:sz w:val="18"/>
          <w:szCs w:val="18"/>
          <w14:ligatures w14:val="none"/>
        </w:rPr>
        <w:t> et al.</w:t>
      </w:r>
      <w:r w:rsidRPr="00097662">
        <w:rPr>
          <w:rFonts w:eastAsia="Times New Roman" w:cstheme="minorHAnsi"/>
          <w:kern w:val="0"/>
          <w:sz w:val="18"/>
          <w:szCs w:val="18"/>
          <w14:ligatures w14:val="none"/>
        </w:rPr>
        <w:t> (1986) </w:t>
      </w:r>
      <w:hyperlink r:id="rId22" w:history="1">
        <w:r w:rsidRPr="00097662">
          <w:rPr>
            <w:rFonts w:eastAsia="Times New Roman" w:cstheme="minorHAnsi"/>
            <w:kern w:val="0"/>
            <w:sz w:val="18"/>
            <w:szCs w:val="18"/>
            <w:u w:val="single"/>
            <w14:ligatures w14:val="none"/>
          </w:rPr>
          <w:t>A double-blind, placebo-controlled clinical study on the effect of a standardized ginseng extract on psychomotor performance in healthy volunteers. </w:t>
        </w:r>
      </w:hyperlink>
      <w:r w:rsidRPr="00097662">
        <w:rPr>
          <w:rFonts w:eastAsia="Times New Roman" w:cstheme="minorHAnsi"/>
          <w:i/>
          <w:iCs/>
          <w:kern w:val="0"/>
          <w:sz w:val="18"/>
          <w:szCs w:val="18"/>
          <w14:ligatures w14:val="none"/>
        </w:rPr>
        <w:t xml:space="preserve">J </w:t>
      </w:r>
      <w:proofErr w:type="spellStart"/>
      <w:proofErr w:type="gramStart"/>
      <w:r w:rsidRPr="00097662">
        <w:rPr>
          <w:rFonts w:eastAsia="Times New Roman" w:cstheme="minorHAnsi"/>
          <w:i/>
          <w:iCs/>
          <w:kern w:val="0"/>
          <w:sz w:val="18"/>
          <w:szCs w:val="18"/>
          <w14:ligatures w14:val="none"/>
        </w:rPr>
        <w:t>Ethnopharmacol</w:t>
      </w:r>
      <w:proofErr w:type="spellEnd"/>
      <w:r w:rsidRPr="00097662">
        <w:rPr>
          <w:rFonts w:eastAsia="Times New Roman" w:cstheme="minorHAnsi"/>
          <w:kern w:val="0"/>
          <w:sz w:val="18"/>
          <w:szCs w:val="18"/>
          <w14:ligatures w14:val="none"/>
        </w:rPr>
        <w:t>  16</w:t>
      </w:r>
      <w:proofErr w:type="gramEnd"/>
      <w:r w:rsidRPr="00097662">
        <w:rPr>
          <w:rFonts w:eastAsia="Times New Roman" w:cstheme="minorHAnsi"/>
          <w:kern w:val="0"/>
          <w:sz w:val="18"/>
          <w:szCs w:val="18"/>
          <w14:ligatures w14:val="none"/>
        </w:rPr>
        <w:t>, 15-22.</w:t>
      </w:r>
    </w:p>
    <w:p w14:paraId="5DA2E699" w14:textId="77777777" w:rsidR="00097662" w:rsidRPr="00097662" w:rsidRDefault="00097662" w:rsidP="00097662">
      <w:pPr>
        <w:numPr>
          <w:ilvl w:val="0"/>
          <w:numId w:val="7"/>
        </w:numPr>
        <w:shd w:val="clear" w:color="auto" w:fill="FFFFFF"/>
        <w:spacing w:before="100" w:beforeAutospacing="1" w:after="240" w:line="240" w:lineRule="auto"/>
        <w:rPr>
          <w:rFonts w:eastAsia="Times New Roman" w:cstheme="minorHAnsi"/>
          <w:kern w:val="0"/>
          <w:sz w:val="18"/>
          <w:szCs w:val="18"/>
          <w14:ligatures w14:val="none"/>
        </w:rPr>
      </w:pPr>
      <w:proofErr w:type="spellStart"/>
      <w:r w:rsidRPr="00097662">
        <w:rPr>
          <w:rFonts w:eastAsia="Times New Roman" w:cstheme="minorHAnsi"/>
          <w:kern w:val="0"/>
          <w:sz w:val="18"/>
          <w:szCs w:val="18"/>
          <w14:ligatures w14:val="none"/>
        </w:rPr>
        <w:t>Sünram</w:t>
      </w:r>
      <w:proofErr w:type="spellEnd"/>
      <w:r w:rsidRPr="00097662">
        <w:rPr>
          <w:rFonts w:eastAsia="Times New Roman" w:cstheme="minorHAnsi"/>
          <w:kern w:val="0"/>
          <w:sz w:val="18"/>
          <w:szCs w:val="18"/>
          <w14:ligatures w14:val="none"/>
        </w:rPr>
        <w:t xml:space="preserve">-Lea SI, Birchall RJ, </w:t>
      </w:r>
      <w:proofErr w:type="spellStart"/>
      <w:r w:rsidRPr="00097662">
        <w:rPr>
          <w:rFonts w:eastAsia="Times New Roman" w:cstheme="minorHAnsi"/>
          <w:kern w:val="0"/>
          <w:sz w:val="18"/>
          <w:szCs w:val="18"/>
          <w14:ligatures w14:val="none"/>
        </w:rPr>
        <w:t>Wesnes</w:t>
      </w:r>
      <w:proofErr w:type="spellEnd"/>
      <w:r w:rsidRPr="00097662">
        <w:rPr>
          <w:rFonts w:eastAsia="Times New Roman" w:cstheme="minorHAnsi"/>
          <w:kern w:val="0"/>
          <w:sz w:val="18"/>
          <w:szCs w:val="18"/>
          <w14:ligatures w14:val="none"/>
        </w:rPr>
        <w:t xml:space="preserve"> KA</w:t>
      </w:r>
      <w:r w:rsidRPr="00097662">
        <w:rPr>
          <w:rFonts w:eastAsia="Times New Roman" w:cstheme="minorHAnsi"/>
          <w:i/>
          <w:iCs/>
          <w:kern w:val="0"/>
          <w:sz w:val="18"/>
          <w:szCs w:val="18"/>
          <w14:ligatures w14:val="none"/>
        </w:rPr>
        <w:t> et al.</w:t>
      </w:r>
      <w:r w:rsidRPr="00097662">
        <w:rPr>
          <w:rFonts w:eastAsia="Times New Roman" w:cstheme="minorHAnsi"/>
          <w:kern w:val="0"/>
          <w:sz w:val="18"/>
          <w:szCs w:val="18"/>
          <w14:ligatures w14:val="none"/>
        </w:rPr>
        <w:t> (2005) </w:t>
      </w:r>
      <w:hyperlink r:id="rId23" w:history="1">
        <w:r w:rsidRPr="00097662">
          <w:rPr>
            <w:rFonts w:eastAsia="Times New Roman" w:cstheme="minorHAnsi"/>
            <w:kern w:val="0"/>
            <w:sz w:val="18"/>
            <w:szCs w:val="18"/>
            <w:u w:val="single"/>
            <w14:ligatures w14:val="none"/>
          </w:rPr>
          <w:t>The effect of acute administration of 400mg of Panax ginseng on cognitive performance and mood in healthy young volunteers.</w:t>
        </w:r>
      </w:hyperlink>
      <w:r w:rsidRPr="00097662">
        <w:rPr>
          <w:rFonts w:eastAsia="Times New Roman" w:cstheme="minorHAnsi"/>
          <w:kern w:val="0"/>
          <w:sz w:val="18"/>
          <w:szCs w:val="18"/>
          <w14:ligatures w14:val="none"/>
        </w:rPr>
        <w:t> </w:t>
      </w:r>
      <w:r w:rsidRPr="00097662">
        <w:rPr>
          <w:rFonts w:eastAsia="Times New Roman" w:cstheme="minorHAnsi"/>
          <w:i/>
          <w:iCs/>
          <w:kern w:val="0"/>
          <w:sz w:val="18"/>
          <w:szCs w:val="18"/>
          <w14:ligatures w14:val="none"/>
        </w:rPr>
        <w:t>Current Topics in Nutraceutical Research</w:t>
      </w:r>
      <w:r w:rsidRPr="00097662">
        <w:rPr>
          <w:rFonts w:eastAsia="Times New Roman" w:cstheme="minorHAnsi"/>
          <w:kern w:val="0"/>
          <w:sz w:val="18"/>
          <w:szCs w:val="18"/>
          <w14:ligatures w14:val="none"/>
        </w:rPr>
        <w:t>  3, 65-74.</w:t>
      </w:r>
    </w:p>
    <w:p w14:paraId="4D7553FF" w14:textId="77777777" w:rsidR="00097662" w:rsidRPr="00097662" w:rsidRDefault="00097662" w:rsidP="00097662">
      <w:pPr>
        <w:numPr>
          <w:ilvl w:val="0"/>
          <w:numId w:val="7"/>
        </w:numPr>
        <w:shd w:val="clear" w:color="auto" w:fill="FFFFFF"/>
        <w:spacing w:before="100" w:beforeAutospacing="1" w:after="240" w:line="240" w:lineRule="auto"/>
        <w:rPr>
          <w:rFonts w:eastAsia="Times New Roman" w:cstheme="minorHAnsi"/>
          <w:kern w:val="0"/>
          <w:sz w:val="18"/>
          <w:szCs w:val="18"/>
          <w14:ligatures w14:val="none"/>
        </w:rPr>
      </w:pPr>
      <w:r w:rsidRPr="00097662">
        <w:rPr>
          <w:rFonts w:eastAsia="Times New Roman" w:cstheme="minorHAnsi"/>
          <w:kern w:val="0"/>
          <w:sz w:val="18"/>
          <w:szCs w:val="18"/>
          <w14:ligatures w14:val="none"/>
        </w:rPr>
        <w:t>Sørensen H, Sonne J (1996) </w:t>
      </w:r>
      <w:hyperlink r:id="rId24" w:history="1">
        <w:r w:rsidRPr="00097662">
          <w:rPr>
            <w:rFonts w:eastAsia="Times New Roman" w:cstheme="minorHAnsi"/>
            <w:kern w:val="0"/>
            <w:sz w:val="18"/>
            <w:szCs w:val="18"/>
            <w:u w:val="single"/>
            <w14:ligatures w14:val="none"/>
          </w:rPr>
          <w:t>A double-masked study of the effects of ginseng on cognitive functions.</w:t>
        </w:r>
      </w:hyperlink>
      <w:r w:rsidRPr="00097662">
        <w:rPr>
          <w:rFonts w:eastAsia="Times New Roman" w:cstheme="minorHAnsi"/>
          <w:kern w:val="0"/>
          <w:sz w:val="18"/>
          <w:szCs w:val="18"/>
          <w14:ligatures w14:val="none"/>
        </w:rPr>
        <w:t> </w:t>
      </w:r>
      <w:r w:rsidRPr="00097662">
        <w:rPr>
          <w:rFonts w:eastAsia="Times New Roman" w:cstheme="minorHAnsi"/>
          <w:i/>
          <w:iCs/>
          <w:kern w:val="0"/>
          <w:sz w:val="18"/>
          <w:szCs w:val="18"/>
          <w14:ligatures w14:val="none"/>
        </w:rPr>
        <w:t>Current Therapeutic Research</w:t>
      </w:r>
      <w:r w:rsidRPr="00097662">
        <w:rPr>
          <w:rFonts w:eastAsia="Times New Roman" w:cstheme="minorHAnsi"/>
          <w:kern w:val="0"/>
          <w:sz w:val="18"/>
          <w:szCs w:val="18"/>
          <w14:ligatures w14:val="none"/>
        </w:rPr>
        <w:t>  57, 959-968.</w:t>
      </w:r>
    </w:p>
    <w:p w14:paraId="2924445D" w14:textId="77777777" w:rsidR="00097662" w:rsidRPr="00097662" w:rsidRDefault="00097662" w:rsidP="00097662">
      <w:pPr>
        <w:numPr>
          <w:ilvl w:val="0"/>
          <w:numId w:val="7"/>
        </w:numPr>
        <w:shd w:val="clear" w:color="auto" w:fill="FFFFFF"/>
        <w:spacing w:before="100" w:beforeAutospacing="1" w:after="240" w:line="240" w:lineRule="auto"/>
        <w:rPr>
          <w:rFonts w:eastAsia="Times New Roman" w:cstheme="minorHAnsi"/>
          <w:kern w:val="0"/>
          <w:sz w:val="18"/>
          <w:szCs w:val="18"/>
          <w14:ligatures w14:val="none"/>
        </w:rPr>
      </w:pPr>
      <w:r w:rsidRPr="00097662">
        <w:rPr>
          <w:rFonts w:eastAsia="Times New Roman" w:cstheme="minorHAnsi"/>
          <w:kern w:val="0"/>
          <w:sz w:val="18"/>
          <w:szCs w:val="18"/>
          <w14:ligatures w14:val="none"/>
        </w:rPr>
        <w:t>Namgung E, Kim J, Jeong H</w:t>
      </w:r>
      <w:r w:rsidRPr="00097662">
        <w:rPr>
          <w:rFonts w:eastAsia="Times New Roman" w:cstheme="minorHAnsi"/>
          <w:i/>
          <w:iCs/>
          <w:kern w:val="0"/>
          <w:sz w:val="18"/>
          <w:szCs w:val="18"/>
          <w14:ligatures w14:val="none"/>
        </w:rPr>
        <w:t> et al.</w:t>
      </w:r>
      <w:r w:rsidRPr="00097662">
        <w:rPr>
          <w:rFonts w:eastAsia="Times New Roman" w:cstheme="minorHAnsi"/>
          <w:kern w:val="0"/>
          <w:sz w:val="18"/>
          <w:szCs w:val="18"/>
          <w14:ligatures w14:val="none"/>
        </w:rPr>
        <w:t> (2020) </w:t>
      </w:r>
      <w:hyperlink r:id="rId25" w:history="1">
        <w:r w:rsidRPr="00097662">
          <w:rPr>
            <w:rFonts w:eastAsia="Times New Roman" w:cstheme="minorHAnsi"/>
            <w:kern w:val="0"/>
            <w:sz w:val="18"/>
            <w:szCs w:val="18"/>
            <w:u w:val="single"/>
            <w14:ligatures w14:val="none"/>
          </w:rPr>
          <w:t>Effects of Korean red ginseng on human gray matter volume and cognitive function: A voxel-based morphometry study.</w:t>
        </w:r>
      </w:hyperlink>
      <w:r w:rsidRPr="00097662">
        <w:rPr>
          <w:rFonts w:eastAsia="Times New Roman" w:cstheme="minorHAnsi"/>
          <w:kern w:val="0"/>
          <w:sz w:val="18"/>
          <w:szCs w:val="18"/>
          <w14:ligatures w14:val="none"/>
        </w:rPr>
        <w:t> </w:t>
      </w:r>
      <w:r w:rsidRPr="00097662">
        <w:rPr>
          <w:rFonts w:eastAsia="Times New Roman" w:cstheme="minorHAnsi"/>
          <w:i/>
          <w:iCs/>
          <w:kern w:val="0"/>
          <w:sz w:val="18"/>
          <w:szCs w:val="18"/>
          <w14:ligatures w14:val="none"/>
        </w:rPr>
        <w:t xml:space="preserve">Hum </w:t>
      </w:r>
      <w:proofErr w:type="spellStart"/>
      <w:r w:rsidRPr="00097662">
        <w:rPr>
          <w:rFonts w:eastAsia="Times New Roman" w:cstheme="minorHAnsi"/>
          <w:i/>
          <w:iCs/>
          <w:kern w:val="0"/>
          <w:sz w:val="18"/>
          <w:szCs w:val="18"/>
          <w14:ligatures w14:val="none"/>
        </w:rPr>
        <w:t>Psychopharmacol</w:t>
      </w:r>
      <w:proofErr w:type="spellEnd"/>
      <w:r w:rsidRPr="00097662">
        <w:rPr>
          <w:rFonts w:eastAsia="Times New Roman" w:cstheme="minorHAnsi"/>
          <w:kern w:val="0"/>
          <w:sz w:val="18"/>
          <w:szCs w:val="18"/>
          <w14:ligatures w14:val="none"/>
        </w:rPr>
        <w:t>.</w:t>
      </w:r>
    </w:p>
    <w:p w14:paraId="6F5F7EBF" w14:textId="77777777" w:rsidR="00097662" w:rsidRPr="00097662" w:rsidRDefault="00097662" w:rsidP="00097662">
      <w:pPr>
        <w:numPr>
          <w:ilvl w:val="0"/>
          <w:numId w:val="7"/>
        </w:numPr>
        <w:shd w:val="clear" w:color="auto" w:fill="FFFFFF"/>
        <w:spacing w:before="100" w:beforeAutospacing="1" w:after="240" w:line="240" w:lineRule="auto"/>
        <w:rPr>
          <w:rFonts w:eastAsia="Times New Roman" w:cstheme="minorHAnsi"/>
          <w:kern w:val="0"/>
          <w:sz w:val="18"/>
          <w:szCs w:val="18"/>
          <w14:ligatures w14:val="none"/>
        </w:rPr>
      </w:pPr>
      <w:proofErr w:type="spellStart"/>
      <w:r w:rsidRPr="00097662">
        <w:rPr>
          <w:rFonts w:eastAsia="Times New Roman" w:cstheme="minorHAnsi"/>
          <w:kern w:val="0"/>
          <w:sz w:val="18"/>
          <w:szCs w:val="18"/>
          <w14:ligatures w14:val="none"/>
        </w:rPr>
        <w:t>LaSala</w:t>
      </w:r>
      <w:proofErr w:type="spellEnd"/>
      <w:r w:rsidRPr="00097662">
        <w:rPr>
          <w:rFonts w:eastAsia="Times New Roman" w:cstheme="minorHAnsi"/>
          <w:kern w:val="0"/>
          <w:sz w:val="18"/>
          <w:szCs w:val="18"/>
          <w14:ligatures w14:val="none"/>
        </w:rPr>
        <w:t xml:space="preserve"> GS, McKeever RG, Patel U</w:t>
      </w:r>
      <w:r w:rsidRPr="00097662">
        <w:rPr>
          <w:rFonts w:eastAsia="Times New Roman" w:cstheme="minorHAnsi"/>
          <w:i/>
          <w:iCs/>
          <w:kern w:val="0"/>
          <w:sz w:val="18"/>
          <w:szCs w:val="18"/>
          <w14:ligatures w14:val="none"/>
        </w:rPr>
        <w:t> et al.</w:t>
      </w:r>
      <w:r w:rsidRPr="00097662">
        <w:rPr>
          <w:rFonts w:eastAsia="Times New Roman" w:cstheme="minorHAnsi"/>
          <w:kern w:val="0"/>
          <w:sz w:val="18"/>
          <w:szCs w:val="18"/>
          <w14:ligatures w14:val="none"/>
        </w:rPr>
        <w:t> (2015) </w:t>
      </w:r>
      <w:hyperlink r:id="rId26" w:history="1">
        <w:r w:rsidRPr="00097662">
          <w:rPr>
            <w:rFonts w:eastAsia="Times New Roman" w:cstheme="minorHAnsi"/>
            <w:kern w:val="0"/>
            <w:sz w:val="18"/>
            <w:szCs w:val="18"/>
            <w:u w:val="single"/>
            <w14:ligatures w14:val="none"/>
          </w:rPr>
          <w:t>Effect of single-dose Ginkgo biloba and Panax ginseng on driving performance.</w:t>
        </w:r>
      </w:hyperlink>
      <w:r w:rsidRPr="00097662">
        <w:rPr>
          <w:rFonts w:eastAsia="Times New Roman" w:cstheme="minorHAnsi"/>
          <w:kern w:val="0"/>
          <w:sz w:val="18"/>
          <w:szCs w:val="18"/>
          <w14:ligatures w14:val="none"/>
        </w:rPr>
        <w:t> </w:t>
      </w:r>
      <w:r w:rsidRPr="00097662">
        <w:rPr>
          <w:rFonts w:eastAsia="Times New Roman" w:cstheme="minorHAnsi"/>
          <w:i/>
          <w:iCs/>
          <w:kern w:val="0"/>
          <w:sz w:val="18"/>
          <w:szCs w:val="18"/>
          <w14:ligatures w14:val="none"/>
        </w:rPr>
        <w:t xml:space="preserve">Clin </w:t>
      </w:r>
      <w:proofErr w:type="spellStart"/>
      <w:r w:rsidRPr="00097662">
        <w:rPr>
          <w:rFonts w:eastAsia="Times New Roman" w:cstheme="minorHAnsi"/>
          <w:i/>
          <w:iCs/>
          <w:kern w:val="0"/>
          <w:sz w:val="18"/>
          <w:szCs w:val="18"/>
          <w14:ligatures w14:val="none"/>
        </w:rPr>
        <w:t>Toxicol</w:t>
      </w:r>
      <w:proofErr w:type="spellEnd"/>
      <w:r w:rsidRPr="00097662">
        <w:rPr>
          <w:rFonts w:eastAsia="Times New Roman" w:cstheme="minorHAnsi"/>
          <w:i/>
          <w:iCs/>
          <w:kern w:val="0"/>
          <w:sz w:val="18"/>
          <w:szCs w:val="18"/>
          <w14:ligatures w14:val="none"/>
        </w:rPr>
        <w:t xml:space="preserve"> (</w:t>
      </w:r>
      <w:proofErr w:type="gramStart"/>
      <w:r w:rsidRPr="00097662">
        <w:rPr>
          <w:rFonts w:eastAsia="Times New Roman" w:cstheme="minorHAnsi"/>
          <w:i/>
          <w:iCs/>
          <w:kern w:val="0"/>
          <w:sz w:val="18"/>
          <w:szCs w:val="18"/>
          <w14:ligatures w14:val="none"/>
        </w:rPr>
        <w:t>Phila)</w:t>
      </w:r>
      <w:r w:rsidRPr="00097662">
        <w:rPr>
          <w:rFonts w:eastAsia="Times New Roman" w:cstheme="minorHAnsi"/>
          <w:kern w:val="0"/>
          <w:sz w:val="18"/>
          <w:szCs w:val="18"/>
          <w14:ligatures w14:val="none"/>
        </w:rPr>
        <w:t>  53</w:t>
      </w:r>
      <w:proofErr w:type="gramEnd"/>
      <w:r w:rsidRPr="00097662">
        <w:rPr>
          <w:rFonts w:eastAsia="Times New Roman" w:cstheme="minorHAnsi"/>
          <w:kern w:val="0"/>
          <w:sz w:val="18"/>
          <w:szCs w:val="18"/>
          <w14:ligatures w14:val="none"/>
        </w:rPr>
        <w:t>, 108-112.</w:t>
      </w:r>
    </w:p>
    <w:p w14:paraId="3D8E52DC" w14:textId="77777777" w:rsidR="00097662" w:rsidRPr="00097662" w:rsidRDefault="00097662" w:rsidP="00097662">
      <w:pPr>
        <w:numPr>
          <w:ilvl w:val="0"/>
          <w:numId w:val="7"/>
        </w:numPr>
        <w:shd w:val="clear" w:color="auto" w:fill="FFFFFF"/>
        <w:spacing w:before="100" w:beforeAutospacing="1" w:after="240" w:line="240" w:lineRule="auto"/>
        <w:rPr>
          <w:rFonts w:eastAsia="Times New Roman" w:cstheme="minorHAnsi"/>
          <w:kern w:val="0"/>
          <w:sz w:val="18"/>
          <w:szCs w:val="18"/>
          <w14:ligatures w14:val="none"/>
        </w:rPr>
      </w:pPr>
      <w:r w:rsidRPr="00097662">
        <w:rPr>
          <w:rFonts w:eastAsia="Times New Roman" w:cstheme="minorHAnsi"/>
          <w:kern w:val="0"/>
          <w:sz w:val="18"/>
          <w:szCs w:val="18"/>
          <w14:ligatures w14:val="none"/>
        </w:rPr>
        <w:t>Ong Lai Teik D, Lee XS, Lim CJ</w:t>
      </w:r>
      <w:r w:rsidRPr="00097662">
        <w:rPr>
          <w:rFonts w:eastAsia="Times New Roman" w:cstheme="minorHAnsi"/>
          <w:i/>
          <w:iCs/>
          <w:kern w:val="0"/>
          <w:sz w:val="18"/>
          <w:szCs w:val="18"/>
          <w14:ligatures w14:val="none"/>
        </w:rPr>
        <w:t> et al.</w:t>
      </w:r>
      <w:r w:rsidRPr="00097662">
        <w:rPr>
          <w:rFonts w:eastAsia="Times New Roman" w:cstheme="minorHAnsi"/>
          <w:kern w:val="0"/>
          <w:sz w:val="18"/>
          <w:szCs w:val="18"/>
          <w14:ligatures w14:val="none"/>
        </w:rPr>
        <w:t> (2016) </w:t>
      </w:r>
      <w:hyperlink r:id="rId27" w:history="1">
        <w:r w:rsidRPr="00097662">
          <w:rPr>
            <w:rFonts w:eastAsia="Times New Roman" w:cstheme="minorHAnsi"/>
            <w:kern w:val="0"/>
            <w:sz w:val="18"/>
            <w:szCs w:val="18"/>
            <w:u w:val="single"/>
            <w14:ligatures w14:val="none"/>
          </w:rPr>
          <w:t xml:space="preserve">Ginseng and Ginkgo Biloba Effects on Cognition as Modulated by Cardiovascular Reactivity: A </w:t>
        </w:r>
        <w:proofErr w:type="spellStart"/>
        <w:r w:rsidRPr="00097662">
          <w:rPr>
            <w:rFonts w:eastAsia="Times New Roman" w:cstheme="minorHAnsi"/>
            <w:kern w:val="0"/>
            <w:sz w:val="18"/>
            <w:szCs w:val="18"/>
            <w:u w:val="single"/>
            <w14:ligatures w14:val="none"/>
          </w:rPr>
          <w:t>Randomised</w:t>
        </w:r>
        <w:proofErr w:type="spellEnd"/>
        <w:r w:rsidRPr="00097662">
          <w:rPr>
            <w:rFonts w:eastAsia="Times New Roman" w:cstheme="minorHAnsi"/>
            <w:kern w:val="0"/>
            <w:sz w:val="18"/>
            <w:szCs w:val="18"/>
            <w:u w:val="single"/>
            <w14:ligatures w14:val="none"/>
          </w:rPr>
          <w:t xml:space="preserve"> Trial.</w:t>
        </w:r>
      </w:hyperlink>
      <w:r w:rsidRPr="00097662">
        <w:rPr>
          <w:rFonts w:eastAsia="Times New Roman" w:cstheme="minorHAnsi"/>
          <w:kern w:val="0"/>
          <w:sz w:val="18"/>
          <w:szCs w:val="18"/>
          <w14:ligatures w14:val="none"/>
        </w:rPr>
        <w:t> </w:t>
      </w:r>
      <w:proofErr w:type="spellStart"/>
      <w:r w:rsidRPr="00097662">
        <w:rPr>
          <w:rFonts w:eastAsia="Times New Roman" w:cstheme="minorHAnsi"/>
          <w:i/>
          <w:iCs/>
          <w:kern w:val="0"/>
          <w:sz w:val="18"/>
          <w:szCs w:val="18"/>
          <w14:ligatures w14:val="none"/>
        </w:rPr>
        <w:t>PLoS</w:t>
      </w:r>
      <w:proofErr w:type="spellEnd"/>
      <w:r w:rsidRPr="00097662">
        <w:rPr>
          <w:rFonts w:eastAsia="Times New Roman" w:cstheme="minorHAnsi"/>
          <w:i/>
          <w:iCs/>
          <w:kern w:val="0"/>
          <w:sz w:val="18"/>
          <w:szCs w:val="18"/>
          <w14:ligatures w14:val="none"/>
        </w:rPr>
        <w:t xml:space="preserve"> </w:t>
      </w:r>
      <w:proofErr w:type="gramStart"/>
      <w:r w:rsidRPr="00097662">
        <w:rPr>
          <w:rFonts w:eastAsia="Times New Roman" w:cstheme="minorHAnsi"/>
          <w:i/>
          <w:iCs/>
          <w:kern w:val="0"/>
          <w:sz w:val="18"/>
          <w:szCs w:val="18"/>
          <w14:ligatures w14:val="none"/>
        </w:rPr>
        <w:t>One</w:t>
      </w:r>
      <w:r w:rsidRPr="00097662">
        <w:rPr>
          <w:rFonts w:eastAsia="Times New Roman" w:cstheme="minorHAnsi"/>
          <w:kern w:val="0"/>
          <w:sz w:val="18"/>
          <w:szCs w:val="18"/>
          <w14:ligatures w14:val="none"/>
        </w:rPr>
        <w:t>  11</w:t>
      </w:r>
      <w:proofErr w:type="gramEnd"/>
      <w:r w:rsidRPr="00097662">
        <w:rPr>
          <w:rFonts w:eastAsia="Times New Roman" w:cstheme="minorHAnsi"/>
          <w:kern w:val="0"/>
          <w:sz w:val="18"/>
          <w:szCs w:val="18"/>
          <w14:ligatures w14:val="none"/>
        </w:rPr>
        <w:t>, e0150447.</w:t>
      </w:r>
    </w:p>
    <w:p w14:paraId="180D83F0" w14:textId="77777777" w:rsidR="00097662" w:rsidRPr="00097662" w:rsidRDefault="00097662" w:rsidP="00097662">
      <w:pPr>
        <w:numPr>
          <w:ilvl w:val="0"/>
          <w:numId w:val="7"/>
        </w:numPr>
        <w:shd w:val="clear" w:color="auto" w:fill="FFFFFF"/>
        <w:spacing w:before="100" w:beforeAutospacing="1" w:after="240" w:line="240" w:lineRule="auto"/>
        <w:rPr>
          <w:rFonts w:eastAsia="Times New Roman" w:cstheme="minorHAnsi"/>
          <w:kern w:val="0"/>
          <w:sz w:val="18"/>
          <w:szCs w:val="18"/>
          <w14:ligatures w14:val="none"/>
        </w:rPr>
      </w:pPr>
      <w:r w:rsidRPr="00097662">
        <w:rPr>
          <w:rFonts w:eastAsia="Times New Roman" w:cstheme="minorHAnsi"/>
          <w:kern w:val="0"/>
          <w:sz w:val="18"/>
          <w:szCs w:val="18"/>
          <w14:ligatures w14:val="none"/>
        </w:rPr>
        <w:t xml:space="preserve">Persson J, </w:t>
      </w:r>
      <w:proofErr w:type="spellStart"/>
      <w:r w:rsidRPr="00097662">
        <w:rPr>
          <w:rFonts w:eastAsia="Times New Roman" w:cstheme="minorHAnsi"/>
          <w:kern w:val="0"/>
          <w:sz w:val="18"/>
          <w:szCs w:val="18"/>
          <w14:ligatures w14:val="none"/>
        </w:rPr>
        <w:t>Bringlov</w:t>
      </w:r>
      <w:proofErr w:type="spellEnd"/>
      <w:r w:rsidRPr="00097662">
        <w:rPr>
          <w:rFonts w:eastAsia="Times New Roman" w:cstheme="minorHAnsi"/>
          <w:kern w:val="0"/>
          <w:sz w:val="18"/>
          <w:szCs w:val="18"/>
          <w14:ligatures w14:val="none"/>
        </w:rPr>
        <w:t xml:space="preserve"> E, Nilsson LG</w:t>
      </w:r>
      <w:r w:rsidRPr="00097662">
        <w:rPr>
          <w:rFonts w:eastAsia="Times New Roman" w:cstheme="minorHAnsi"/>
          <w:i/>
          <w:iCs/>
          <w:kern w:val="0"/>
          <w:sz w:val="18"/>
          <w:szCs w:val="18"/>
          <w14:ligatures w14:val="none"/>
        </w:rPr>
        <w:t> et al.</w:t>
      </w:r>
      <w:r w:rsidRPr="00097662">
        <w:rPr>
          <w:rFonts w:eastAsia="Times New Roman" w:cstheme="minorHAnsi"/>
          <w:kern w:val="0"/>
          <w:sz w:val="18"/>
          <w:szCs w:val="18"/>
          <w14:ligatures w14:val="none"/>
        </w:rPr>
        <w:t> (2004) </w:t>
      </w:r>
      <w:hyperlink r:id="rId28" w:history="1">
        <w:r w:rsidRPr="00097662">
          <w:rPr>
            <w:rFonts w:eastAsia="Times New Roman" w:cstheme="minorHAnsi"/>
            <w:kern w:val="0"/>
            <w:sz w:val="18"/>
            <w:szCs w:val="18"/>
            <w:u w:val="single"/>
            <w14:ligatures w14:val="none"/>
          </w:rPr>
          <w:t>The memory-enhancing effects of Ginseng and Ginkgo biloba in healthy volunteers.</w:t>
        </w:r>
      </w:hyperlink>
      <w:r w:rsidRPr="00097662">
        <w:rPr>
          <w:rFonts w:eastAsia="Times New Roman" w:cstheme="minorHAnsi"/>
          <w:kern w:val="0"/>
          <w:sz w:val="18"/>
          <w:szCs w:val="18"/>
          <w14:ligatures w14:val="none"/>
        </w:rPr>
        <w:t> </w:t>
      </w:r>
      <w:r w:rsidRPr="00097662">
        <w:rPr>
          <w:rFonts w:eastAsia="Times New Roman" w:cstheme="minorHAnsi"/>
          <w:i/>
          <w:iCs/>
          <w:kern w:val="0"/>
          <w:sz w:val="18"/>
          <w:szCs w:val="18"/>
          <w14:ligatures w14:val="none"/>
        </w:rPr>
        <w:t>Psychopharmacology (</w:t>
      </w:r>
      <w:proofErr w:type="gramStart"/>
      <w:r w:rsidRPr="00097662">
        <w:rPr>
          <w:rFonts w:eastAsia="Times New Roman" w:cstheme="minorHAnsi"/>
          <w:i/>
          <w:iCs/>
          <w:kern w:val="0"/>
          <w:sz w:val="18"/>
          <w:szCs w:val="18"/>
          <w14:ligatures w14:val="none"/>
        </w:rPr>
        <w:t>Berl)</w:t>
      </w:r>
      <w:r w:rsidRPr="00097662">
        <w:rPr>
          <w:rFonts w:eastAsia="Times New Roman" w:cstheme="minorHAnsi"/>
          <w:kern w:val="0"/>
          <w:sz w:val="18"/>
          <w:szCs w:val="18"/>
          <w14:ligatures w14:val="none"/>
        </w:rPr>
        <w:t>  172</w:t>
      </w:r>
      <w:proofErr w:type="gramEnd"/>
      <w:r w:rsidRPr="00097662">
        <w:rPr>
          <w:rFonts w:eastAsia="Times New Roman" w:cstheme="minorHAnsi"/>
          <w:kern w:val="0"/>
          <w:sz w:val="18"/>
          <w:szCs w:val="18"/>
          <w14:ligatures w14:val="none"/>
        </w:rPr>
        <w:t>, 430-434.</w:t>
      </w:r>
    </w:p>
    <w:p w14:paraId="598B42A3" w14:textId="77777777" w:rsidR="00097662" w:rsidRPr="00097662" w:rsidRDefault="00097662" w:rsidP="00097662">
      <w:pPr>
        <w:numPr>
          <w:ilvl w:val="0"/>
          <w:numId w:val="7"/>
        </w:numPr>
        <w:shd w:val="clear" w:color="auto" w:fill="FFFFFF"/>
        <w:spacing w:before="100" w:beforeAutospacing="1" w:after="240" w:line="240" w:lineRule="auto"/>
        <w:rPr>
          <w:rFonts w:eastAsia="Times New Roman" w:cstheme="minorHAnsi"/>
          <w:kern w:val="0"/>
          <w:sz w:val="18"/>
          <w:szCs w:val="18"/>
          <w14:ligatures w14:val="none"/>
        </w:rPr>
      </w:pPr>
      <w:r w:rsidRPr="00097662">
        <w:rPr>
          <w:rFonts w:eastAsia="Times New Roman" w:cstheme="minorHAnsi"/>
          <w:kern w:val="0"/>
          <w:sz w:val="18"/>
          <w:szCs w:val="18"/>
          <w14:ligatures w14:val="none"/>
        </w:rPr>
        <w:t>Reay JL, Scholey AB, Kennedy DO (2010) </w:t>
      </w:r>
      <w:hyperlink r:id="rId29" w:history="1">
        <w:r w:rsidRPr="00097662">
          <w:rPr>
            <w:rFonts w:eastAsia="Times New Roman" w:cstheme="minorHAnsi"/>
            <w:kern w:val="0"/>
            <w:sz w:val="18"/>
            <w:szCs w:val="18"/>
            <w:u w:val="single"/>
            <w14:ligatures w14:val="none"/>
          </w:rPr>
          <w:t>Panax ginseng (G115) improves aspects of working memory performance and subjective ratings of calmness in healthy young adults.</w:t>
        </w:r>
      </w:hyperlink>
      <w:r w:rsidRPr="00097662">
        <w:rPr>
          <w:rFonts w:eastAsia="Times New Roman" w:cstheme="minorHAnsi"/>
          <w:kern w:val="0"/>
          <w:sz w:val="18"/>
          <w:szCs w:val="18"/>
          <w14:ligatures w14:val="none"/>
        </w:rPr>
        <w:t> </w:t>
      </w:r>
      <w:r w:rsidRPr="00097662">
        <w:rPr>
          <w:rFonts w:eastAsia="Times New Roman" w:cstheme="minorHAnsi"/>
          <w:i/>
          <w:iCs/>
          <w:kern w:val="0"/>
          <w:sz w:val="18"/>
          <w:szCs w:val="18"/>
          <w14:ligatures w14:val="none"/>
        </w:rPr>
        <w:t xml:space="preserve">Hum </w:t>
      </w:r>
      <w:proofErr w:type="spellStart"/>
      <w:proofErr w:type="gramStart"/>
      <w:r w:rsidRPr="00097662">
        <w:rPr>
          <w:rFonts w:eastAsia="Times New Roman" w:cstheme="minorHAnsi"/>
          <w:i/>
          <w:iCs/>
          <w:kern w:val="0"/>
          <w:sz w:val="18"/>
          <w:szCs w:val="18"/>
          <w14:ligatures w14:val="none"/>
        </w:rPr>
        <w:t>Psychopharmacol</w:t>
      </w:r>
      <w:proofErr w:type="spellEnd"/>
      <w:r w:rsidRPr="00097662">
        <w:rPr>
          <w:rFonts w:eastAsia="Times New Roman" w:cstheme="minorHAnsi"/>
          <w:kern w:val="0"/>
          <w:sz w:val="18"/>
          <w:szCs w:val="18"/>
          <w14:ligatures w14:val="none"/>
        </w:rPr>
        <w:t>  25</w:t>
      </w:r>
      <w:proofErr w:type="gramEnd"/>
      <w:r w:rsidRPr="00097662">
        <w:rPr>
          <w:rFonts w:eastAsia="Times New Roman" w:cstheme="minorHAnsi"/>
          <w:kern w:val="0"/>
          <w:sz w:val="18"/>
          <w:szCs w:val="18"/>
          <w14:ligatures w14:val="none"/>
        </w:rPr>
        <w:t>, 462-471.</w:t>
      </w:r>
    </w:p>
    <w:p w14:paraId="4E8846BF" w14:textId="77777777" w:rsidR="00097662" w:rsidRPr="00097662" w:rsidRDefault="00097662" w:rsidP="00097662">
      <w:pPr>
        <w:numPr>
          <w:ilvl w:val="0"/>
          <w:numId w:val="7"/>
        </w:numPr>
        <w:shd w:val="clear" w:color="auto" w:fill="FFFFFF"/>
        <w:spacing w:before="100" w:beforeAutospacing="1" w:after="240" w:line="240" w:lineRule="auto"/>
        <w:rPr>
          <w:rFonts w:eastAsia="Times New Roman" w:cstheme="minorHAnsi"/>
          <w:kern w:val="0"/>
          <w:sz w:val="18"/>
          <w:szCs w:val="18"/>
          <w14:ligatures w14:val="none"/>
        </w:rPr>
      </w:pPr>
      <w:r w:rsidRPr="00097662">
        <w:rPr>
          <w:rFonts w:eastAsia="Times New Roman" w:cstheme="minorHAnsi"/>
          <w:kern w:val="0"/>
          <w:sz w:val="18"/>
          <w:szCs w:val="18"/>
          <w14:ligatures w14:val="none"/>
        </w:rPr>
        <w:t>Yeo HB, Yoon HK, Lee HJ</w:t>
      </w:r>
      <w:r w:rsidRPr="00097662">
        <w:rPr>
          <w:rFonts w:eastAsia="Times New Roman" w:cstheme="minorHAnsi"/>
          <w:i/>
          <w:iCs/>
          <w:kern w:val="0"/>
          <w:sz w:val="18"/>
          <w:szCs w:val="18"/>
          <w14:ligatures w14:val="none"/>
        </w:rPr>
        <w:t> et al.</w:t>
      </w:r>
      <w:r w:rsidRPr="00097662">
        <w:rPr>
          <w:rFonts w:eastAsia="Times New Roman" w:cstheme="minorHAnsi"/>
          <w:kern w:val="0"/>
          <w:sz w:val="18"/>
          <w:szCs w:val="18"/>
          <w14:ligatures w14:val="none"/>
        </w:rPr>
        <w:t> (2012) </w:t>
      </w:r>
      <w:hyperlink r:id="rId30" w:history="1">
        <w:r w:rsidRPr="00097662">
          <w:rPr>
            <w:rFonts w:eastAsia="Times New Roman" w:cstheme="minorHAnsi"/>
            <w:kern w:val="0"/>
            <w:sz w:val="18"/>
            <w:szCs w:val="18"/>
            <w:u w:val="single"/>
            <w14:ligatures w14:val="none"/>
          </w:rPr>
          <w:t>Effects of Korean Red Ginseng on Cognitive and Motor Function: A Double-blind, Randomized, Placebo-controlled Trial.</w:t>
        </w:r>
      </w:hyperlink>
      <w:r w:rsidRPr="00097662">
        <w:rPr>
          <w:rFonts w:eastAsia="Times New Roman" w:cstheme="minorHAnsi"/>
          <w:kern w:val="0"/>
          <w:sz w:val="18"/>
          <w:szCs w:val="18"/>
          <w14:ligatures w14:val="none"/>
        </w:rPr>
        <w:t> </w:t>
      </w:r>
      <w:r w:rsidRPr="00097662">
        <w:rPr>
          <w:rFonts w:eastAsia="Times New Roman" w:cstheme="minorHAnsi"/>
          <w:i/>
          <w:iCs/>
          <w:kern w:val="0"/>
          <w:sz w:val="18"/>
          <w:szCs w:val="18"/>
          <w14:ligatures w14:val="none"/>
        </w:rPr>
        <w:t>J Ginseng Res</w:t>
      </w:r>
      <w:r w:rsidRPr="00097662">
        <w:rPr>
          <w:rFonts w:eastAsia="Times New Roman" w:cstheme="minorHAnsi"/>
          <w:kern w:val="0"/>
          <w:sz w:val="18"/>
          <w:szCs w:val="18"/>
          <w14:ligatures w14:val="none"/>
        </w:rPr>
        <w:t>  36, 190-197.</w:t>
      </w:r>
    </w:p>
    <w:p w14:paraId="5D0EFDED" w14:textId="77777777" w:rsidR="00097662" w:rsidRPr="00097662" w:rsidRDefault="00097662" w:rsidP="00097662">
      <w:pPr>
        <w:numPr>
          <w:ilvl w:val="0"/>
          <w:numId w:val="7"/>
        </w:numPr>
        <w:shd w:val="clear" w:color="auto" w:fill="FFFFFF"/>
        <w:spacing w:before="100" w:beforeAutospacing="1" w:after="240" w:line="240" w:lineRule="auto"/>
        <w:rPr>
          <w:rFonts w:eastAsia="Times New Roman" w:cstheme="minorHAnsi"/>
          <w:kern w:val="0"/>
          <w:sz w:val="18"/>
          <w:szCs w:val="18"/>
          <w14:ligatures w14:val="none"/>
        </w:rPr>
      </w:pPr>
      <w:r w:rsidRPr="00097662">
        <w:rPr>
          <w:rFonts w:eastAsia="Times New Roman" w:cstheme="minorHAnsi"/>
          <w:kern w:val="0"/>
          <w:sz w:val="18"/>
          <w:szCs w:val="18"/>
          <w14:ligatures w14:val="none"/>
        </w:rPr>
        <w:t>Baek JH, Heo JY, Fava M</w:t>
      </w:r>
      <w:r w:rsidRPr="00097662">
        <w:rPr>
          <w:rFonts w:eastAsia="Times New Roman" w:cstheme="minorHAnsi"/>
          <w:i/>
          <w:iCs/>
          <w:kern w:val="0"/>
          <w:sz w:val="18"/>
          <w:szCs w:val="18"/>
          <w14:ligatures w14:val="none"/>
        </w:rPr>
        <w:t> et al.</w:t>
      </w:r>
      <w:r w:rsidRPr="00097662">
        <w:rPr>
          <w:rFonts w:eastAsia="Times New Roman" w:cstheme="minorHAnsi"/>
          <w:kern w:val="0"/>
          <w:sz w:val="18"/>
          <w:szCs w:val="18"/>
          <w14:ligatures w14:val="none"/>
        </w:rPr>
        <w:t> (2019) </w:t>
      </w:r>
      <w:hyperlink r:id="rId31" w:history="1">
        <w:r w:rsidRPr="00097662">
          <w:rPr>
            <w:rFonts w:eastAsia="Times New Roman" w:cstheme="minorHAnsi"/>
            <w:kern w:val="0"/>
            <w:sz w:val="18"/>
            <w:szCs w:val="18"/>
            <w:u w:val="single"/>
            <w14:ligatures w14:val="none"/>
          </w:rPr>
          <w:t>Effect of Korean Red Ginseng in individuals exposed to high stress levels: a 6-week, double-blind, randomized, placebo-controlled trial.</w:t>
        </w:r>
      </w:hyperlink>
      <w:r w:rsidRPr="00097662">
        <w:rPr>
          <w:rFonts w:eastAsia="Times New Roman" w:cstheme="minorHAnsi"/>
          <w:kern w:val="0"/>
          <w:sz w:val="18"/>
          <w:szCs w:val="18"/>
          <w14:ligatures w14:val="none"/>
        </w:rPr>
        <w:t> </w:t>
      </w:r>
      <w:r w:rsidRPr="00097662">
        <w:rPr>
          <w:rFonts w:eastAsia="Times New Roman" w:cstheme="minorHAnsi"/>
          <w:i/>
          <w:iCs/>
          <w:kern w:val="0"/>
          <w:sz w:val="18"/>
          <w:szCs w:val="18"/>
          <w14:ligatures w14:val="none"/>
        </w:rPr>
        <w:t>J Ginseng Res</w:t>
      </w:r>
      <w:r w:rsidRPr="00097662">
        <w:rPr>
          <w:rFonts w:eastAsia="Times New Roman" w:cstheme="minorHAnsi"/>
          <w:kern w:val="0"/>
          <w:sz w:val="18"/>
          <w:szCs w:val="18"/>
          <w14:ligatures w14:val="none"/>
        </w:rPr>
        <w:t>  43, 402-407.</w:t>
      </w:r>
    </w:p>
    <w:p w14:paraId="2330668F" w14:textId="77777777" w:rsidR="00097662" w:rsidRPr="00097662" w:rsidRDefault="00097662" w:rsidP="00097662">
      <w:pPr>
        <w:numPr>
          <w:ilvl w:val="0"/>
          <w:numId w:val="7"/>
        </w:numPr>
        <w:shd w:val="clear" w:color="auto" w:fill="FFFFFF"/>
        <w:spacing w:before="100" w:beforeAutospacing="1" w:after="240" w:line="240" w:lineRule="auto"/>
        <w:rPr>
          <w:rFonts w:eastAsia="Times New Roman" w:cstheme="minorHAnsi"/>
          <w:kern w:val="0"/>
          <w:sz w:val="18"/>
          <w:szCs w:val="18"/>
          <w14:ligatures w14:val="none"/>
        </w:rPr>
      </w:pPr>
      <w:r w:rsidRPr="00097662">
        <w:rPr>
          <w:rFonts w:eastAsia="Times New Roman" w:cstheme="minorHAnsi"/>
          <w:kern w:val="0"/>
          <w:sz w:val="18"/>
          <w:szCs w:val="18"/>
          <w14:ligatures w14:val="none"/>
        </w:rPr>
        <w:t>Park KC, Jin H, Zheng R</w:t>
      </w:r>
      <w:r w:rsidRPr="00097662">
        <w:rPr>
          <w:rFonts w:eastAsia="Times New Roman" w:cstheme="minorHAnsi"/>
          <w:i/>
          <w:iCs/>
          <w:kern w:val="0"/>
          <w:sz w:val="18"/>
          <w:szCs w:val="18"/>
          <w14:ligatures w14:val="none"/>
        </w:rPr>
        <w:t> et al.</w:t>
      </w:r>
      <w:r w:rsidRPr="00097662">
        <w:rPr>
          <w:rFonts w:eastAsia="Times New Roman" w:cstheme="minorHAnsi"/>
          <w:kern w:val="0"/>
          <w:sz w:val="18"/>
          <w:szCs w:val="18"/>
          <w14:ligatures w14:val="none"/>
        </w:rPr>
        <w:t> (2019) </w:t>
      </w:r>
      <w:hyperlink r:id="rId32" w:history="1">
        <w:r w:rsidRPr="00097662">
          <w:rPr>
            <w:rFonts w:eastAsia="Times New Roman" w:cstheme="minorHAnsi"/>
            <w:kern w:val="0"/>
            <w:sz w:val="18"/>
            <w:szCs w:val="18"/>
            <w:u w:val="single"/>
            <w14:ligatures w14:val="none"/>
          </w:rPr>
          <w:t>Cognition enhancing effect of panax ginseng in Korean volunteers with mild cognitive impairment: a randomized, double-blind, placebo-controlled clinical trial. </w:t>
        </w:r>
      </w:hyperlink>
      <w:r w:rsidRPr="00097662">
        <w:rPr>
          <w:rFonts w:eastAsia="Times New Roman" w:cstheme="minorHAnsi"/>
          <w:i/>
          <w:iCs/>
          <w:kern w:val="0"/>
          <w:sz w:val="18"/>
          <w:szCs w:val="18"/>
          <w14:ligatures w14:val="none"/>
        </w:rPr>
        <w:t xml:space="preserve">Translational and clinical </w:t>
      </w:r>
      <w:proofErr w:type="gramStart"/>
      <w:r w:rsidRPr="00097662">
        <w:rPr>
          <w:rFonts w:eastAsia="Times New Roman" w:cstheme="minorHAnsi"/>
          <w:i/>
          <w:iCs/>
          <w:kern w:val="0"/>
          <w:sz w:val="18"/>
          <w:szCs w:val="18"/>
          <w14:ligatures w14:val="none"/>
        </w:rPr>
        <w:t>pharmacology</w:t>
      </w:r>
      <w:r w:rsidRPr="00097662">
        <w:rPr>
          <w:rFonts w:eastAsia="Times New Roman" w:cstheme="minorHAnsi"/>
          <w:kern w:val="0"/>
          <w:sz w:val="18"/>
          <w:szCs w:val="18"/>
          <w14:ligatures w14:val="none"/>
        </w:rPr>
        <w:t>  27</w:t>
      </w:r>
      <w:proofErr w:type="gramEnd"/>
      <w:r w:rsidRPr="00097662">
        <w:rPr>
          <w:rFonts w:eastAsia="Times New Roman" w:cstheme="minorHAnsi"/>
          <w:kern w:val="0"/>
          <w:sz w:val="18"/>
          <w:szCs w:val="18"/>
          <w14:ligatures w14:val="none"/>
        </w:rPr>
        <w:t>, 92-97.</w:t>
      </w:r>
    </w:p>
    <w:p w14:paraId="12DB4049" w14:textId="77777777" w:rsidR="00097662" w:rsidRPr="00097662" w:rsidRDefault="00097662" w:rsidP="00097662">
      <w:pPr>
        <w:numPr>
          <w:ilvl w:val="0"/>
          <w:numId w:val="7"/>
        </w:numPr>
        <w:shd w:val="clear" w:color="auto" w:fill="FFFFFF"/>
        <w:spacing w:before="100" w:beforeAutospacing="1" w:after="240" w:line="240" w:lineRule="auto"/>
        <w:rPr>
          <w:rFonts w:eastAsia="Times New Roman" w:cstheme="minorHAnsi"/>
          <w:kern w:val="0"/>
          <w:sz w:val="18"/>
          <w:szCs w:val="18"/>
          <w14:ligatures w14:val="none"/>
        </w:rPr>
      </w:pPr>
      <w:r w:rsidRPr="00097662">
        <w:rPr>
          <w:rFonts w:eastAsia="Times New Roman" w:cstheme="minorHAnsi"/>
          <w:kern w:val="0"/>
          <w:sz w:val="18"/>
          <w:szCs w:val="18"/>
          <w14:ligatures w14:val="none"/>
        </w:rPr>
        <w:t>Geng J, Dong J, Ni H</w:t>
      </w:r>
      <w:r w:rsidRPr="00097662">
        <w:rPr>
          <w:rFonts w:eastAsia="Times New Roman" w:cstheme="minorHAnsi"/>
          <w:i/>
          <w:iCs/>
          <w:kern w:val="0"/>
          <w:sz w:val="18"/>
          <w:szCs w:val="18"/>
          <w14:ligatures w14:val="none"/>
        </w:rPr>
        <w:t> et al.</w:t>
      </w:r>
      <w:r w:rsidRPr="00097662">
        <w:rPr>
          <w:rFonts w:eastAsia="Times New Roman" w:cstheme="minorHAnsi"/>
          <w:kern w:val="0"/>
          <w:sz w:val="18"/>
          <w:szCs w:val="18"/>
          <w14:ligatures w14:val="none"/>
        </w:rPr>
        <w:t> (2010) </w:t>
      </w:r>
      <w:hyperlink r:id="rId33" w:history="1">
        <w:r w:rsidRPr="00097662">
          <w:rPr>
            <w:rFonts w:eastAsia="Times New Roman" w:cstheme="minorHAnsi"/>
            <w:kern w:val="0"/>
            <w:sz w:val="18"/>
            <w:szCs w:val="18"/>
            <w:u w:val="single"/>
            <w14:ligatures w14:val="none"/>
          </w:rPr>
          <w:t>Ginseng for cognition.</w:t>
        </w:r>
      </w:hyperlink>
      <w:r w:rsidRPr="00097662">
        <w:rPr>
          <w:rFonts w:eastAsia="Times New Roman" w:cstheme="minorHAnsi"/>
          <w:kern w:val="0"/>
          <w:sz w:val="18"/>
          <w:szCs w:val="18"/>
          <w14:ligatures w14:val="none"/>
        </w:rPr>
        <w:t> </w:t>
      </w:r>
      <w:r w:rsidRPr="00097662">
        <w:rPr>
          <w:rFonts w:eastAsia="Times New Roman" w:cstheme="minorHAnsi"/>
          <w:i/>
          <w:iCs/>
          <w:kern w:val="0"/>
          <w:sz w:val="18"/>
          <w:szCs w:val="18"/>
          <w14:ligatures w14:val="none"/>
        </w:rPr>
        <w:t>Cochrane Database Syst Rev</w:t>
      </w:r>
      <w:r w:rsidRPr="00097662">
        <w:rPr>
          <w:rFonts w:eastAsia="Times New Roman" w:cstheme="minorHAnsi"/>
          <w:kern w:val="0"/>
          <w:sz w:val="18"/>
          <w:szCs w:val="18"/>
          <w14:ligatures w14:val="none"/>
        </w:rPr>
        <w:t>, CD007769.</w:t>
      </w:r>
    </w:p>
    <w:p w14:paraId="59DE4EE9" w14:textId="77777777" w:rsidR="00097662" w:rsidRDefault="00097662">
      <w:pPr>
        <w:rPr>
          <w:rFonts w:cstheme="minorHAnsi"/>
          <w:sz w:val="18"/>
          <w:szCs w:val="18"/>
        </w:rPr>
      </w:pPr>
    </w:p>
    <w:p w14:paraId="700018A4" w14:textId="71079725" w:rsidR="007C1B62" w:rsidRDefault="007C1B62">
      <w:pPr>
        <w:rPr>
          <w:rFonts w:cstheme="minorHAnsi"/>
          <w:sz w:val="24"/>
          <w:szCs w:val="24"/>
          <w:shd w:val="clear" w:color="auto" w:fill="FFFFFF"/>
        </w:rPr>
      </w:pPr>
      <w:r w:rsidRPr="007C1B62">
        <w:rPr>
          <w:rFonts w:cstheme="minorHAnsi"/>
          <w:sz w:val="24"/>
          <w:szCs w:val="24"/>
          <w:shd w:val="clear" w:color="auto" w:fill="FFFFFF"/>
        </w:rPr>
        <w:t xml:space="preserve">Clinical trials have shown modest benefits for </w:t>
      </w:r>
      <w:r w:rsidRPr="007C1B62">
        <w:rPr>
          <w:rFonts w:cstheme="minorHAnsi"/>
          <w:b/>
          <w:bCs/>
          <w:sz w:val="24"/>
          <w:szCs w:val="24"/>
          <w:shd w:val="clear" w:color="auto" w:fill="FFFFFF"/>
        </w:rPr>
        <w:t xml:space="preserve">probiotics </w:t>
      </w:r>
      <w:r w:rsidRPr="007C1B62">
        <w:rPr>
          <w:rFonts w:cstheme="minorHAnsi"/>
          <w:sz w:val="24"/>
          <w:szCs w:val="24"/>
          <w:shd w:val="clear" w:color="auto" w:fill="FFFFFF"/>
        </w:rPr>
        <w:t xml:space="preserve">in patients with mild cognitive impairment and early Alzheimer’s disease (AD) in improving cognitive scores on measures of memory and attention </w:t>
      </w:r>
      <w:r>
        <w:rPr>
          <w:rFonts w:cstheme="minorHAnsi"/>
          <w:sz w:val="24"/>
          <w:szCs w:val="24"/>
          <w:shd w:val="clear" w:color="auto" w:fill="FFFFFF"/>
        </w:rPr>
        <w:t>1,2.</w:t>
      </w:r>
      <w:r w:rsidRPr="007C1B62">
        <w:rPr>
          <w:rFonts w:cstheme="minorHAnsi"/>
          <w:sz w:val="24"/>
          <w:szCs w:val="24"/>
          <w:shd w:val="clear" w:color="auto" w:fill="FFFFFF"/>
        </w:rPr>
        <w:t xml:space="preserve"> The effects on cognition were accompanied by beneficial effects on immune system regulation and metabolism, such as blood lipid levels </w:t>
      </w:r>
      <w:r>
        <w:rPr>
          <w:rFonts w:cstheme="minorHAnsi"/>
          <w:sz w:val="24"/>
          <w:szCs w:val="24"/>
          <w:shd w:val="clear" w:color="auto" w:fill="FFFFFF"/>
        </w:rPr>
        <w:t>3</w:t>
      </w:r>
      <w:r w:rsidRPr="007C1B62">
        <w:rPr>
          <w:rFonts w:cstheme="minorHAnsi"/>
          <w:sz w:val="24"/>
          <w:szCs w:val="24"/>
          <w:shd w:val="clear" w:color="auto" w:fill="FFFFFF"/>
        </w:rPr>
        <w:t xml:space="preserve">. A clinical trial in patients with severe AD found that probiotics had no effect on cognition or immune parameters in this population </w:t>
      </w:r>
      <w:r>
        <w:rPr>
          <w:rFonts w:cstheme="minorHAnsi"/>
          <w:sz w:val="24"/>
          <w:szCs w:val="24"/>
          <w:shd w:val="clear" w:color="auto" w:fill="FFFFFF"/>
        </w:rPr>
        <w:t>4.</w:t>
      </w:r>
    </w:p>
    <w:p w14:paraId="68477680" w14:textId="77777777" w:rsidR="007C1B62" w:rsidRPr="007C1B62" w:rsidRDefault="007C1B62" w:rsidP="007C1B62">
      <w:pPr>
        <w:numPr>
          <w:ilvl w:val="0"/>
          <w:numId w:val="8"/>
        </w:numPr>
        <w:shd w:val="clear" w:color="auto" w:fill="FFFFFF"/>
        <w:spacing w:before="100" w:beforeAutospacing="1" w:after="240" w:line="240" w:lineRule="auto"/>
        <w:rPr>
          <w:rFonts w:eastAsia="Times New Roman" w:cstheme="minorHAnsi"/>
          <w:kern w:val="0"/>
          <w:sz w:val="18"/>
          <w:szCs w:val="18"/>
          <w14:ligatures w14:val="none"/>
        </w:rPr>
      </w:pPr>
      <w:proofErr w:type="spellStart"/>
      <w:r w:rsidRPr="007C1B62">
        <w:rPr>
          <w:rFonts w:eastAsia="Times New Roman" w:cstheme="minorHAnsi"/>
          <w:kern w:val="0"/>
          <w:sz w:val="18"/>
          <w:szCs w:val="18"/>
          <w14:ligatures w14:val="none"/>
        </w:rPr>
        <w:lastRenderedPageBreak/>
        <w:t>Lv</w:t>
      </w:r>
      <w:proofErr w:type="spellEnd"/>
      <w:r w:rsidRPr="007C1B62">
        <w:rPr>
          <w:rFonts w:eastAsia="Times New Roman" w:cstheme="minorHAnsi"/>
          <w:kern w:val="0"/>
          <w:sz w:val="18"/>
          <w:szCs w:val="18"/>
          <w14:ligatures w14:val="none"/>
        </w:rPr>
        <w:t xml:space="preserve"> T, Ye M, Luo F et al. (2021) </w:t>
      </w:r>
      <w:hyperlink r:id="rId34" w:history="1">
        <w:r w:rsidRPr="007C1B62">
          <w:rPr>
            <w:rFonts w:eastAsia="Times New Roman" w:cstheme="minorHAnsi"/>
            <w:kern w:val="0"/>
            <w:sz w:val="18"/>
            <w:szCs w:val="18"/>
            <w:u w:val="single"/>
            <w14:ligatures w14:val="none"/>
          </w:rPr>
          <w:t>Probiotics treatment improves cognitive impairment in patients and animals: A systematic review and meta-analysis.</w:t>
        </w:r>
      </w:hyperlink>
      <w:r w:rsidRPr="007C1B62">
        <w:rPr>
          <w:rFonts w:eastAsia="Times New Roman" w:cstheme="minorHAnsi"/>
          <w:kern w:val="0"/>
          <w:sz w:val="18"/>
          <w:szCs w:val="18"/>
          <w14:ligatures w14:val="none"/>
        </w:rPr>
        <w:t> </w:t>
      </w:r>
      <w:r w:rsidRPr="007C1B62">
        <w:rPr>
          <w:rFonts w:eastAsia="Times New Roman" w:cstheme="minorHAnsi"/>
          <w:i/>
          <w:iCs/>
          <w:kern w:val="0"/>
          <w:sz w:val="18"/>
          <w:szCs w:val="18"/>
          <w14:ligatures w14:val="none"/>
        </w:rPr>
        <w:t>Neuroscience &amp; Biobehavioral Reviews</w:t>
      </w:r>
      <w:r w:rsidRPr="007C1B62">
        <w:rPr>
          <w:rFonts w:eastAsia="Times New Roman" w:cstheme="minorHAnsi"/>
          <w:kern w:val="0"/>
          <w:sz w:val="18"/>
          <w:szCs w:val="18"/>
          <w14:ligatures w14:val="none"/>
        </w:rPr>
        <w:t> 120, 159-172.</w:t>
      </w:r>
    </w:p>
    <w:p w14:paraId="189A0B82" w14:textId="77777777" w:rsidR="007C1B62" w:rsidRPr="007C1B62" w:rsidRDefault="007C1B62" w:rsidP="007C1B62">
      <w:pPr>
        <w:numPr>
          <w:ilvl w:val="0"/>
          <w:numId w:val="8"/>
        </w:numPr>
        <w:shd w:val="clear" w:color="auto" w:fill="FFFFFF"/>
        <w:spacing w:before="100" w:beforeAutospacing="1" w:after="240" w:line="240" w:lineRule="auto"/>
        <w:rPr>
          <w:rFonts w:eastAsia="Times New Roman" w:cstheme="minorHAnsi"/>
          <w:kern w:val="0"/>
          <w:sz w:val="18"/>
          <w:szCs w:val="18"/>
          <w14:ligatures w14:val="none"/>
        </w:rPr>
      </w:pPr>
      <w:r w:rsidRPr="007C1B62">
        <w:rPr>
          <w:rFonts w:eastAsia="Times New Roman" w:cstheme="minorHAnsi"/>
          <w:kern w:val="0"/>
          <w:sz w:val="18"/>
          <w:szCs w:val="18"/>
          <w14:ligatures w14:val="none"/>
        </w:rPr>
        <w:t>Den H, Dong X, Chen M et al. (2020) </w:t>
      </w:r>
      <w:hyperlink r:id="rId35" w:history="1">
        <w:r w:rsidRPr="007C1B62">
          <w:rPr>
            <w:rFonts w:eastAsia="Times New Roman" w:cstheme="minorHAnsi"/>
            <w:kern w:val="0"/>
            <w:sz w:val="18"/>
            <w:szCs w:val="18"/>
            <w:u w:val="single"/>
            <w14:ligatures w14:val="none"/>
          </w:rPr>
          <w:t>Efficacy of probiotics on cognition, and biomarkers of inflammation and oxidative stress in adults with Alzheimer's disease or mild cognitive impairment - a meta-analysis of randomized controlled trials.</w:t>
        </w:r>
      </w:hyperlink>
      <w:r w:rsidRPr="007C1B62">
        <w:rPr>
          <w:rFonts w:eastAsia="Times New Roman" w:cstheme="minorHAnsi"/>
          <w:kern w:val="0"/>
          <w:sz w:val="18"/>
          <w:szCs w:val="18"/>
          <w14:ligatures w14:val="none"/>
        </w:rPr>
        <w:t> </w:t>
      </w:r>
      <w:r w:rsidRPr="007C1B62">
        <w:rPr>
          <w:rFonts w:eastAsia="Times New Roman" w:cstheme="minorHAnsi"/>
          <w:i/>
          <w:iCs/>
          <w:kern w:val="0"/>
          <w:sz w:val="18"/>
          <w:szCs w:val="18"/>
          <w14:ligatures w14:val="none"/>
        </w:rPr>
        <w:t>Aging (Albany NY)</w:t>
      </w:r>
      <w:r w:rsidRPr="007C1B62">
        <w:rPr>
          <w:rFonts w:eastAsia="Times New Roman" w:cstheme="minorHAnsi"/>
          <w:kern w:val="0"/>
          <w:sz w:val="18"/>
          <w:szCs w:val="18"/>
          <w14:ligatures w14:val="none"/>
        </w:rPr>
        <w:t> 12, 4010-4039.</w:t>
      </w:r>
    </w:p>
    <w:p w14:paraId="68B82921" w14:textId="77777777" w:rsidR="007C1B62" w:rsidRPr="007C1B62" w:rsidRDefault="007C1B62" w:rsidP="007C1B62">
      <w:pPr>
        <w:numPr>
          <w:ilvl w:val="0"/>
          <w:numId w:val="8"/>
        </w:numPr>
        <w:shd w:val="clear" w:color="auto" w:fill="FFFFFF"/>
        <w:spacing w:before="100" w:beforeAutospacing="1" w:after="240" w:line="240" w:lineRule="auto"/>
        <w:rPr>
          <w:rFonts w:eastAsia="Times New Roman" w:cstheme="minorHAnsi"/>
          <w:kern w:val="0"/>
          <w:sz w:val="18"/>
          <w:szCs w:val="18"/>
          <w14:ligatures w14:val="none"/>
        </w:rPr>
      </w:pPr>
      <w:r w:rsidRPr="007C1B62">
        <w:rPr>
          <w:rFonts w:eastAsia="Times New Roman" w:cstheme="minorHAnsi"/>
          <w:kern w:val="0"/>
          <w:sz w:val="18"/>
          <w:szCs w:val="18"/>
          <w14:ligatures w14:val="none"/>
        </w:rPr>
        <w:t>Krüger JF, Hillesheim E, Pereira ACSN et al. (2020) </w:t>
      </w:r>
      <w:hyperlink r:id="rId36" w:history="1">
        <w:r w:rsidRPr="007C1B62">
          <w:rPr>
            <w:rFonts w:eastAsia="Times New Roman" w:cstheme="minorHAnsi"/>
            <w:kern w:val="0"/>
            <w:sz w:val="18"/>
            <w:szCs w:val="18"/>
            <w:u w:val="single"/>
            <w14:ligatures w14:val="none"/>
          </w:rPr>
          <w:t>Probiotics for dementia: a systematic review and meta-analysis of randomized controlled trials.</w:t>
        </w:r>
      </w:hyperlink>
      <w:r w:rsidRPr="007C1B62">
        <w:rPr>
          <w:rFonts w:eastAsia="Times New Roman" w:cstheme="minorHAnsi"/>
          <w:kern w:val="0"/>
          <w:sz w:val="18"/>
          <w:szCs w:val="18"/>
          <w14:ligatures w14:val="none"/>
        </w:rPr>
        <w:t> </w:t>
      </w:r>
      <w:r w:rsidRPr="007C1B62">
        <w:rPr>
          <w:rFonts w:eastAsia="Times New Roman" w:cstheme="minorHAnsi"/>
          <w:i/>
          <w:iCs/>
          <w:kern w:val="0"/>
          <w:sz w:val="18"/>
          <w:szCs w:val="18"/>
          <w14:ligatures w14:val="none"/>
        </w:rPr>
        <w:t>Nutrition Reviews</w:t>
      </w:r>
      <w:r w:rsidRPr="007C1B62">
        <w:rPr>
          <w:rFonts w:eastAsia="Times New Roman" w:cstheme="minorHAnsi"/>
          <w:kern w:val="0"/>
          <w:sz w:val="18"/>
          <w:szCs w:val="18"/>
          <w14:ligatures w14:val="none"/>
        </w:rPr>
        <w:t> 79, 160-170.</w:t>
      </w:r>
    </w:p>
    <w:p w14:paraId="7C0ECBF3" w14:textId="77777777" w:rsidR="007C1B62" w:rsidRPr="007C1B62" w:rsidRDefault="007C1B62" w:rsidP="007C1B62">
      <w:pPr>
        <w:numPr>
          <w:ilvl w:val="0"/>
          <w:numId w:val="8"/>
        </w:numPr>
        <w:shd w:val="clear" w:color="auto" w:fill="FFFFFF"/>
        <w:spacing w:before="100" w:beforeAutospacing="1" w:after="240" w:line="240" w:lineRule="auto"/>
        <w:rPr>
          <w:rFonts w:eastAsia="Times New Roman" w:cstheme="minorHAnsi"/>
          <w:kern w:val="0"/>
          <w:sz w:val="18"/>
          <w:szCs w:val="18"/>
          <w14:ligatures w14:val="none"/>
        </w:rPr>
      </w:pPr>
      <w:r w:rsidRPr="007C1B62">
        <w:rPr>
          <w:rFonts w:eastAsia="Times New Roman" w:cstheme="minorHAnsi"/>
          <w:kern w:val="0"/>
          <w:sz w:val="18"/>
          <w:szCs w:val="18"/>
          <w14:ligatures w14:val="none"/>
        </w:rPr>
        <w:t>Agahi A, Hamidi GA, Daneshvar R et al. (2018) </w:t>
      </w:r>
      <w:hyperlink r:id="rId37" w:history="1">
        <w:r w:rsidRPr="007C1B62">
          <w:rPr>
            <w:rFonts w:eastAsia="Times New Roman" w:cstheme="minorHAnsi"/>
            <w:kern w:val="0"/>
            <w:sz w:val="18"/>
            <w:szCs w:val="18"/>
            <w:u w:val="single"/>
            <w14:ligatures w14:val="none"/>
          </w:rPr>
          <w:t xml:space="preserve">Does Severity of Alzheimer's Disease Contribute to Its Responsiveness to Modifying Gut Microbiota? A </w:t>
        </w:r>
        <w:proofErr w:type="gramStart"/>
        <w:r w:rsidRPr="007C1B62">
          <w:rPr>
            <w:rFonts w:eastAsia="Times New Roman" w:cstheme="minorHAnsi"/>
            <w:kern w:val="0"/>
            <w:sz w:val="18"/>
            <w:szCs w:val="18"/>
            <w:u w:val="single"/>
            <w14:ligatures w14:val="none"/>
          </w:rPr>
          <w:t>Double Blind</w:t>
        </w:r>
        <w:proofErr w:type="gramEnd"/>
        <w:r w:rsidRPr="007C1B62">
          <w:rPr>
            <w:rFonts w:eastAsia="Times New Roman" w:cstheme="minorHAnsi"/>
            <w:kern w:val="0"/>
            <w:sz w:val="18"/>
            <w:szCs w:val="18"/>
            <w:u w:val="single"/>
            <w14:ligatures w14:val="none"/>
          </w:rPr>
          <w:t xml:space="preserve"> Clinical Trial.</w:t>
        </w:r>
      </w:hyperlink>
      <w:r w:rsidRPr="007C1B62">
        <w:rPr>
          <w:rFonts w:eastAsia="Times New Roman" w:cstheme="minorHAnsi"/>
          <w:kern w:val="0"/>
          <w:sz w:val="18"/>
          <w:szCs w:val="18"/>
          <w14:ligatures w14:val="none"/>
        </w:rPr>
        <w:t> </w:t>
      </w:r>
      <w:r w:rsidRPr="007C1B62">
        <w:rPr>
          <w:rFonts w:eastAsia="Times New Roman" w:cstheme="minorHAnsi"/>
          <w:i/>
          <w:iCs/>
          <w:kern w:val="0"/>
          <w:sz w:val="18"/>
          <w:szCs w:val="18"/>
          <w14:ligatures w14:val="none"/>
        </w:rPr>
        <w:t>Front Neurol</w:t>
      </w:r>
      <w:r w:rsidRPr="007C1B62">
        <w:rPr>
          <w:rFonts w:eastAsia="Times New Roman" w:cstheme="minorHAnsi"/>
          <w:kern w:val="0"/>
          <w:sz w:val="18"/>
          <w:szCs w:val="18"/>
          <w14:ligatures w14:val="none"/>
        </w:rPr>
        <w:t> 9, 662-662.</w:t>
      </w:r>
    </w:p>
    <w:p w14:paraId="18742855" w14:textId="77777777" w:rsidR="007C1B62" w:rsidRDefault="007C1B62">
      <w:pPr>
        <w:rPr>
          <w:rFonts w:cstheme="minorHAnsi"/>
          <w:sz w:val="24"/>
          <w:szCs w:val="24"/>
        </w:rPr>
      </w:pPr>
    </w:p>
    <w:p w14:paraId="312E998F" w14:textId="100FB7F2" w:rsidR="007C1B62" w:rsidRDefault="007C1B62">
      <w:pPr>
        <w:rPr>
          <w:rFonts w:cstheme="minorHAnsi"/>
          <w:color w:val="000000"/>
          <w:sz w:val="24"/>
          <w:szCs w:val="24"/>
          <w:shd w:val="clear" w:color="auto" w:fill="FFFFFF"/>
        </w:rPr>
      </w:pPr>
      <w:r w:rsidRPr="00545B28">
        <w:rPr>
          <w:rFonts w:cstheme="minorHAnsi"/>
          <w:color w:val="000000"/>
          <w:sz w:val="24"/>
          <w:szCs w:val="24"/>
          <w:shd w:val="clear" w:color="auto" w:fill="FFFFFF"/>
        </w:rPr>
        <w:t xml:space="preserve">Three double-blind randomized controlled trials have evaluated the effects of </w:t>
      </w:r>
      <w:r w:rsidRPr="00545B28">
        <w:rPr>
          <w:rFonts w:cstheme="minorHAnsi"/>
          <w:b/>
          <w:bCs/>
          <w:color w:val="000000"/>
          <w:sz w:val="24"/>
          <w:szCs w:val="24"/>
          <w:shd w:val="clear" w:color="auto" w:fill="FFFFFF"/>
        </w:rPr>
        <w:t>green tea</w:t>
      </w:r>
      <w:r w:rsidRPr="00545B28">
        <w:rPr>
          <w:rFonts w:cstheme="minorHAnsi"/>
          <w:b/>
          <w:bCs/>
          <w:color w:val="000000"/>
          <w:sz w:val="24"/>
          <w:szCs w:val="24"/>
          <w:shd w:val="clear" w:color="auto" w:fill="FFFFFF"/>
        </w:rPr>
        <w:t xml:space="preserve"> </w:t>
      </w:r>
      <w:r w:rsidRPr="00545B28">
        <w:rPr>
          <w:rFonts w:cstheme="minorHAnsi"/>
          <w:b/>
          <w:bCs/>
          <w:color w:val="000000"/>
          <w:sz w:val="24"/>
          <w:szCs w:val="24"/>
          <w:shd w:val="clear" w:color="auto" w:fill="FFFFFF"/>
        </w:rPr>
        <w:t>extract</w:t>
      </w:r>
      <w:r w:rsidRPr="00545B28">
        <w:rPr>
          <w:rFonts w:cstheme="minorHAnsi"/>
          <w:color w:val="000000"/>
          <w:sz w:val="24"/>
          <w:szCs w:val="24"/>
          <w:shd w:val="clear" w:color="auto" w:fill="FFFFFF"/>
        </w:rPr>
        <w:t xml:space="preserve"> on cognitive functions. In one trial in 99 older adults with subjective cognitive decline or mild cognitive impairment, matcha green tea (2 grams) taken daily for 12 months improved social acuity score compared to placebo, but not global cognition or other cognitive functions including attention, cognitive flexibility, and executive attention </w:t>
      </w:r>
      <w:r w:rsidR="00545B28">
        <w:rPr>
          <w:rFonts w:cstheme="minorHAnsi"/>
          <w:color w:val="000000"/>
          <w:sz w:val="24"/>
          <w:szCs w:val="24"/>
          <w:shd w:val="clear" w:color="auto" w:fill="FFFFFF"/>
        </w:rPr>
        <w:t>1</w:t>
      </w:r>
      <w:r w:rsidRPr="00545B28">
        <w:rPr>
          <w:rFonts w:cstheme="minorHAnsi"/>
          <w:color w:val="000000"/>
          <w:sz w:val="24"/>
          <w:szCs w:val="24"/>
          <w:shd w:val="clear" w:color="auto" w:fill="FFFFFF"/>
        </w:rPr>
        <w:t>. A trial in 91 patients with mild cognitive impairment reported that the combination of green tea extract and </w:t>
      </w:r>
      <w:r w:rsidRPr="00545B28">
        <w:rPr>
          <w:rFonts w:cstheme="minorHAnsi"/>
          <w:b/>
          <w:bCs/>
          <w:color w:val="000000"/>
          <w:sz w:val="24"/>
          <w:szCs w:val="24"/>
          <w:shd w:val="clear" w:color="auto" w:fill="FFFFFF"/>
        </w:rPr>
        <w:t>L-theanine</w:t>
      </w:r>
      <w:r w:rsidRPr="00545B28">
        <w:rPr>
          <w:rFonts w:cstheme="minorHAnsi"/>
          <w:color w:val="000000"/>
          <w:sz w:val="24"/>
          <w:szCs w:val="24"/>
          <w:shd w:val="clear" w:color="auto" w:fill="FFFFFF"/>
        </w:rPr>
        <w:t> for 16 weeks resulted in significant improvements in memory and attention, particularly in patients who had relatively severe baseline impairment</w:t>
      </w:r>
      <w:r w:rsidR="00545B28">
        <w:rPr>
          <w:rFonts w:cstheme="minorHAnsi"/>
          <w:color w:val="000000"/>
          <w:sz w:val="24"/>
          <w:szCs w:val="24"/>
          <w:shd w:val="clear" w:color="auto" w:fill="FFFFFF"/>
        </w:rPr>
        <w:t>2</w:t>
      </w:r>
      <w:r w:rsidRPr="00545B28">
        <w:rPr>
          <w:rFonts w:cstheme="minorHAnsi"/>
          <w:color w:val="000000"/>
          <w:sz w:val="24"/>
          <w:szCs w:val="24"/>
          <w:shd w:val="clear" w:color="auto" w:fill="FFFFFF"/>
        </w:rPr>
        <w:t>. The third trial examined the acute effects of a drink containing 27.5 g of green tea extract and reported that the drink increased brain connectivity associated with working memory, and the degree of connectivity correlated with the magnitude of improvement in working memory</w:t>
      </w:r>
      <w:r w:rsidR="00545B28">
        <w:rPr>
          <w:rFonts w:cstheme="minorHAnsi"/>
          <w:color w:val="000000"/>
          <w:sz w:val="24"/>
          <w:szCs w:val="24"/>
          <w:shd w:val="clear" w:color="auto" w:fill="FFFFFF"/>
        </w:rPr>
        <w:t>3</w:t>
      </w:r>
      <w:r w:rsidRPr="00545B28">
        <w:rPr>
          <w:rFonts w:cstheme="minorHAnsi"/>
          <w:color w:val="000000"/>
          <w:sz w:val="24"/>
          <w:szCs w:val="24"/>
          <w:shd w:val="clear" w:color="auto" w:fill="FFFFFF"/>
        </w:rPr>
        <w:t>. Green tea contains several compounds that may have beneficial properties, including </w:t>
      </w:r>
      <w:r w:rsidRPr="00545B28">
        <w:rPr>
          <w:rFonts w:cstheme="minorHAnsi"/>
          <w:color w:val="000000"/>
          <w:sz w:val="24"/>
          <w:szCs w:val="24"/>
          <w:shd w:val="clear" w:color="auto" w:fill="FFFFFF"/>
        </w:rPr>
        <w:t>Caffe</w:t>
      </w:r>
      <w:r w:rsidR="00545B28" w:rsidRPr="00545B28">
        <w:rPr>
          <w:rFonts w:cstheme="minorHAnsi"/>
          <w:color w:val="000000"/>
          <w:sz w:val="24"/>
          <w:szCs w:val="24"/>
          <w:shd w:val="clear" w:color="auto" w:fill="FFFFFF"/>
        </w:rPr>
        <w:t>ine</w:t>
      </w:r>
      <w:r w:rsidRPr="00545B28">
        <w:rPr>
          <w:rFonts w:cstheme="minorHAnsi"/>
          <w:color w:val="000000"/>
          <w:sz w:val="24"/>
          <w:szCs w:val="24"/>
          <w:shd w:val="clear" w:color="auto" w:fill="FFFFFF"/>
        </w:rPr>
        <w:t>, </w:t>
      </w:r>
      <w:r w:rsidR="00545B28" w:rsidRPr="00545B28">
        <w:rPr>
          <w:rFonts w:cstheme="minorHAnsi"/>
          <w:color w:val="000000"/>
          <w:sz w:val="24"/>
          <w:szCs w:val="24"/>
          <w:shd w:val="clear" w:color="auto" w:fill="FFFFFF"/>
        </w:rPr>
        <w:t>L-theanine</w:t>
      </w:r>
      <w:r w:rsidRPr="00545B28">
        <w:rPr>
          <w:rFonts w:cstheme="minorHAnsi"/>
          <w:color w:val="000000"/>
          <w:sz w:val="24"/>
          <w:szCs w:val="24"/>
          <w:shd w:val="clear" w:color="auto" w:fill="FFFFFF"/>
        </w:rPr>
        <w:t>, and green tea catechins (e.g., </w:t>
      </w:r>
      <w:r w:rsidR="00545B28" w:rsidRPr="00545B28">
        <w:rPr>
          <w:rFonts w:cstheme="minorHAnsi"/>
          <w:b/>
          <w:bCs/>
          <w:color w:val="000000"/>
          <w:sz w:val="24"/>
          <w:szCs w:val="24"/>
          <w:shd w:val="clear" w:color="auto" w:fill="FFFFFF"/>
        </w:rPr>
        <w:t>EGCG</w:t>
      </w:r>
      <w:r w:rsidRPr="00545B28">
        <w:rPr>
          <w:rFonts w:cstheme="minorHAnsi"/>
          <w:color w:val="000000"/>
          <w:sz w:val="24"/>
          <w:szCs w:val="24"/>
          <w:shd w:val="clear" w:color="auto" w:fill="FFFFFF"/>
        </w:rPr>
        <w:t xml:space="preserve">) </w:t>
      </w:r>
      <w:r w:rsidR="00545B28">
        <w:rPr>
          <w:rFonts w:cstheme="minorHAnsi"/>
          <w:color w:val="000000"/>
          <w:sz w:val="24"/>
          <w:szCs w:val="24"/>
          <w:shd w:val="clear" w:color="auto" w:fill="FFFFFF"/>
        </w:rPr>
        <w:t>4,5.</w:t>
      </w:r>
    </w:p>
    <w:p w14:paraId="19F0B47F" w14:textId="77777777" w:rsidR="00545B28" w:rsidRPr="00545B28" w:rsidRDefault="00545B28" w:rsidP="00545B28">
      <w:pPr>
        <w:numPr>
          <w:ilvl w:val="0"/>
          <w:numId w:val="9"/>
        </w:numPr>
        <w:shd w:val="clear" w:color="auto" w:fill="FFFFFF"/>
        <w:spacing w:before="100" w:beforeAutospacing="1" w:after="240" w:line="240" w:lineRule="auto"/>
        <w:rPr>
          <w:rFonts w:eastAsia="Times New Roman" w:cstheme="minorHAnsi"/>
          <w:kern w:val="0"/>
          <w:sz w:val="18"/>
          <w:szCs w:val="18"/>
          <w14:ligatures w14:val="none"/>
        </w:rPr>
      </w:pPr>
      <w:r w:rsidRPr="00545B28">
        <w:rPr>
          <w:rFonts w:eastAsia="Times New Roman" w:cstheme="minorHAnsi"/>
          <w:kern w:val="0"/>
          <w:sz w:val="18"/>
          <w:szCs w:val="18"/>
          <w14:ligatures w14:val="none"/>
        </w:rPr>
        <w:t xml:space="preserve">Uchida K, Meno K, </w:t>
      </w:r>
      <w:proofErr w:type="spellStart"/>
      <w:r w:rsidRPr="00545B28">
        <w:rPr>
          <w:rFonts w:eastAsia="Times New Roman" w:cstheme="minorHAnsi"/>
          <w:kern w:val="0"/>
          <w:sz w:val="18"/>
          <w:szCs w:val="18"/>
          <w14:ligatures w14:val="none"/>
        </w:rPr>
        <w:t>Korenaga</w:t>
      </w:r>
      <w:proofErr w:type="spellEnd"/>
      <w:r w:rsidRPr="00545B28">
        <w:rPr>
          <w:rFonts w:eastAsia="Times New Roman" w:cstheme="minorHAnsi"/>
          <w:kern w:val="0"/>
          <w:sz w:val="18"/>
          <w:szCs w:val="18"/>
          <w14:ligatures w14:val="none"/>
        </w:rPr>
        <w:t xml:space="preserve"> T et al. (2024) </w:t>
      </w:r>
      <w:hyperlink r:id="rId38" w:history="1">
        <w:r w:rsidRPr="00545B28">
          <w:rPr>
            <w:rFonts w:eastAsia="Times New Roman" w:cstheme="minorHAnsi"/>
            <w:kern w:val="0"/>
            <w:sz w:val="18"/>
            <w:szCs w:val="18"/>
            <w:u w:val="single"/>
            <w14:ligatures w14:val="none"/>
          </w:rPr>
          <w:t>Effect of matcha green tea on cognitive functions and sleep quality in older adults with cognitive decline: A randomized controlled study over 12 months</w:t>
        </w:r>
      </w:hyperlink>
      <w:r w:rsidRPr="00545B28">
        <w:rPr>
          <w:rFonts w:eastAsia="Times New Roman" w:cstheme="minorHAnsi"/>
          <w:kern w:val="0"/>
          <w:sz w:val="18"/>
          <w:szCs w:val="18"/>
          <w14:ligatures w14:val="none"/>
        </w:rPr>
        <w:t xml:space="preserve">. </w:t>
      </w:r>
      <w:proofErr w:type="spellStart"/>
      <w:r w:rsidRPr="00545B28">
        <w:rPr>
          <w:rFonts w:eastAsia="Times New Roman" w:cstheme="minorHAnsi"/>
          <w:kern w:val="0"/>
          <w:sz w:val="18"/>
          <w:szCs w:val="18"/>
          <w14:ligatures w14:val="none"/>
        </w:rPr>
        <w:t>PLoS</w:t>
      </w:r>
      <w:proofErr w:type="spellEnd"/>
      <w:r w:rsidRPr="00545B28">
        <w:rPr>
          <w:rFonts w:eastAsia="Times New Roman" w:cstheme="minorHAnsi"/>
          <w:kern w:val="0"/>
          <w:sz w:val="18"/>
          <w:szCs w:val="18"/>
          <w14:ligatures w14:val="none"/>
        </w:rPr>
        <w:t xml:space="preserve"> One 19, e0309287.</w:t>
      </w:r>
    </w:p>
    <w:p w14:paraId="42491BA4" w14:textId="77777777" w:rsidR="00545B28" w:rsidRPr="00545B28" w:rsidRDefault="00545B28" w:rsidP="00545B28">
      <w:pPr>
        <w:numPr>
          <w:ilvl w:val="0"/>
          <w:numId w:val="9"/>
        </w:numPr>
        <w:shd w:val="clear" w:color="auto" w:fill="FFFFFF"/>
        <w:spacing w:before="100" w:beforeAutospacing="1" w:after="240" w:line="240" w:lineRule="auto"/>
        <w:rPr>
          <w:rFonts w:eastAsia="Times New Roman" w:cstheme="minorHAnsi"/>
          <w:kern w:val="0"/>
          <w:sz w:val="18"/>
          <w:szCs w:val="18"/>
          <w14:ligatures w14:val="none"/>
        </w:rPr>
      </w:pPr>
      <w:r w:rsidRPr="00545B28">
        <w:rPr>
          <w:rFonts w:eastAsia="Times New Roman" w:cstheme="minorHAnsi"/>
          <w:kern w:val="0"/>
          <w:sz w:val="18"/>
          <w:szCs w:val="18"/>
          <w14:ligatures w14:val="none"/>
        </w:rPr>
        <w:t>Park SK, Jung IC, Lee WK et al. (2011) </w:t>
      </w:r>
      <w:hyperlink r:id="rId39" w:history="1">
        <w:r w:rsidRPr="00545B28">
          <w:rPr>
            <w:rFonts w:eastAsia="Times New Roman" w:cstheme="minorHAnsi"/>
            <w:kern w:val="0"/>
            <w:sz w:val="18"/>
            <w:szCs w:val="18"/>
            <w:u w:val="single"/>
            <w14:ligatures w14:val="none"/>
          </w:rPr>
          <w:t>A combination of green tea extract and l-theanine improves memory and attention in subjects with mild cognitive impairment: a double-blind placebo-controlled study</w:t>
        </w:r>
      </w:hyperlink>
      <w:r w:rsidRPr="00545B28">
        <w:rPr>
          <w:rFonts w:eastAsia="Times New Roman" w:cstheme="minorHAnsi"/>
          <w:kern w:val="0"/>
          <w:sz w:val="18"/>
          <w:szCs w:val="18"/>
          <w14:ligatures w14:val="none"/>
        </w:rPr>
        <w:t>. J Med Food 14, 334-343.</w:t>
      </w:r>
    </w:p>
    <w:p w14:paraId="09B64291" w14:textId="77777777" w:rsidR="00545B28" w:rsidRPr="00545B28" w:rsidRDefault="00545B28" w:rsidP="00545B28">
      <w:pPr>
        <w:numPr>
          <w:ilvl w:val="0"/>
          <w:numId w:val="9"/>
        </w:numPr>
        <w:shd w:val="clear" w:color="auto" w:fill="FFFFFF"/>
        <w:spacing w:before="100" w:beforeAutospacing="1" w:after="240" w:line="240" w:lineRule="auto"/>
        <w:rPr>
          <w:rFonts w:eastAsia="Times New Roman" w:cstheme="minorHAnsi"/>
          <w:kern w:val="0"/>
          <w:sz w:val="18"/>
          <w:szCs w:val="18"/>
          <w14:ligatures w14:val="none"/>
        </w:rPr>
      </w:pPr>
      <w:r w:rsidRPr="00545B28">
        <w:rPr>
          <w:rFonts w:eastAsia="Times New Roman" w:cstheme="minorHAnsi"/>
          <w:kern w:val="0"/>
          <w:sz w:val="18"/>
          <w:szCs w:val="18"/>
          <w14:ligatures w14:val="none"/>
        </w:rPr>
        <w:t xml:space="preserve">Schmidt A, Hammann F, </w:t>
      </w:r>
      <w:proofErr w:type="spellStart"/>
      <w:r w:rsidRPr="00545B28">
        <w:rPr>
          <w:rFonts w:eastAsia="Times New Roman" w:cstheme="minorHAnsi"/>
          <w:kern w:val="0"/>
          <w:sz w:val="18"/>
          <w:szCs w:val="18"/>
          <w14:ligatures w14:val="none"/>
        </w:rPr>
        <w:t>Wolnerhanssen</w:t>
      </w:r>
      <w:proofErr w:type="spellEnd"/>
      <w:r w:rsidRPr="00545B28">
        <w:rPr>
          <w:rFonts w:eastAsia="Times New Roman" w:cstheme="minorHAnsi"/>
          <w:kern w:val="0"/>
          <w:sz w:val="18"/>
          <w:szCs w:val="18"/>
          <w14:ligatures w14:val="none"/>
        </w:rPr>
        <w:t xml:space="preserve"> B et al. (2014) </w:t>
      </w:r>
      <w:hyperlink r:id="rId40" w:history="1">
        <w:r w:rsidRPr="00545B28">
          <w:rPr>
            <w:rFonts w:eastAsia="Times New Roman" w:cstheme="minorHAnsi"/>
            <w:kern w:val="0"/>
            <w:sz w:val="18"/>
            <w:szCs w:val="18"/>
            <w:u w:val="single"/>
            <w14:ligatures w14:val="none"/>
          </w:rPr>
          <w:t>Green tea extract enhances parieto-frontal connectivity during working memory processing</w:t>
        </w:r>
      </w:hyperlink>
      <w:r w:rsidRPr="00545B28">
        <w:rPr>
          <w:rFonts w:eastAsia="Times New Roman" w:cstheme="minorHAnsi"/>
          <w:kern w:val="0"/>
          <w:sz w:val="18"/>
          <w:szCs w:val="18"/>
          <w14:ligatures w14:val="none"/>
        </w:rPr>
        <w:t>. Psychopharmacology (Berl) 231, 3879-3888.</w:t>
      </w:r>
    </w:p>
    <w:p w14:paraId="30245BF1" w14:textId="77777777" w:rsidR="00545B28" w:rsidRPr="00545B28" w:rsidRDefault="00545B28" w:rsidP="00545B28">
      <w:pPr>
        <w:numPr>
          <w:ilvl w:val="0"/>
          <w:numId w:val="9"/>
        </w:numPr>
        <w:shd w:val="clear" w:color="auto" w:fill="FFFFFF"/>
        <w:spacing w:before="100" w:beforeAutospacing="1" w:after="240" w:line="240" w:lineRule="auto"/>
        <w:rPr>
          <w:rFonts w:eastAsia="Times New Roman" w:cstheme="minorHAnsi"/>
          <w:kern w:val="0"/>
          <w:sz w:val="18"/>
          <w:szCs w:val="18"/>
          <w14:ligatures w14:val="none"/>
        </w:rPr>
      </w:pPr>
      <w:r w:rsidRPr="00545B28">
        <w:rPr>
          <w:rFonts w:eastAsia="Times New Roman" w:cstheme="minorHAnsi"/>
          <w:kern w:val="0"/>
          <w:sz w:val="18"/>
          <w:szCs w:val="18"/>
          <w14:ligatures w14:val="none"/>
        </w:rPr>
        <w:t>Bryan J (2008) </w:t>
      </w:r>
      <w:hyperlink r:id="rId41" w:history="1">
        <w:r w:rsidRPr="00545B28">
          <w:rPr>
            <w:rFonts w:eastAsia="Times New Roman" w:cstheme="minorHAnsi"/>
            <w:kern w:val="0"/>
            <w:sz w:val="18"/>
            <w:szCs w:val="18"/>
            <w:u w:val="single"/>
            <w14:ligatures w14:val="none"/>
          </w:rPr>
          <w:t>Psychological effects of dietary components of tea: caffeine and L-theanine</w:t>
        </w:r>
      </w:hyperlink>
      <w:r w:rsidRPr="00545B28">
        <w:rPr>
          <w:rFonts w:eastAsia="Times New Roman" w:cstheme="minorHAnsi"/>
          <w:kern w:val="0"/>
          <w:sz w:val="18"/>
          <w:szCs w:val="18"/>
          <w14:ligatures w14:val="none"/>
        </w:rPr>
        <w:t xml:space="preserve">. </w:t>
      </w:r>
      <w:proofErr w:type="spellStart"/>
      <w:r w:rsidRPr="00545B28">
        <w:rPr>
          <w:rFonts w:eastAsia="Times New Roman" w:cstheme="minorHAnsi"/>
          <w:kern w:val="0"/>
          <w:sz w:val="18"/>
          <w:szCs w:val="18"/>
          <w14:ligatures w14:val="none"/>
        </w:rPr>
        <w:t>Nutr</w:t>
      </w:r>
      <w:proofErr w:type="spellEnd"/>
      <w:r w:rsidRPr="00545B28">
        <w:rPr>
          <w:rFonts w:eastAsia="Times New Roman" w:cstheme="minorHAnsi"/>
          <w:kern w:val="0"/>
          <w:sz w:val="18"/>
          <w:szCs w:val="18"/>
          <w14:ligatures w14:val="none"/>
        </w:rPr>
        <w:t xml:space="preserve"> Rev 66, 82-90.</w:t>
      </w:r>
    </w:p>
    <w:p w14:paraId="7DE7E6EB" w14:textId="77777777" w:rsidR="00545B28" w:rsidRPr="00545B28" w:rsidRDefault="00545B28" w:rsidP="00545B28">
      <w:pPr>
        <w:numPr>
          <w:ilvl w:val="0"/>
          <w:numId w:val="9"/>
        </w:numPr>
        <w:shd w:val="clear" w:color="auto" w:fill="FFFFFF"/>
        <w:spacing w:before="100" w:beforeAutospacing="1" w:after="240" w:line="240" w:lineRule="auto"/>
        <w:rPr>
          <w:rFonts w:eastAsia="Times New Roman" w:cstheme="minorHAnsi"/>
          <w:kern w:val="0"/>
          <w:sz w:val="18"/>
          <w:szCs w:val="18"/>
          <w14:ligatures w14:val="none"/>
        </w:rPr>
      </w:pPr>
      <w:r w:rsidRPr="00545B28">
        <w:rPr>
          <w:rFonts w:eastAsia="Times New Roman" w:cstheme="minorHAnsi"/>
          <w:kern w:val="0"/>
          <w:sz w:val="18"/>
          <w:szCs w:val="18"/>
          <w14:ligatures w14:val="none"/>
        </w:rPr>
        <w:t>Camfield DA, Stough C, Farrimond J et al. (2014) </w:t>
      </w:r>
      <w:hyperlink r:id="rId42" w:history="1">
        <w:r w:rsidRPr="00545B28">
          <w:rPr>
            <w:rFonts w:eastAsia="Times New Roman" w:cstheme="minorHAnsi"/>
            <w:kern w:val="0"/>
            <w:sz w:val="18"/>
            <w:szCs w:val="18"/>
            <w:u w:val="single"/>
            <w14:ligatures w14:val="none"/>
          </w:rPr>
          <w:t>Acute effects of tea constituents L-theanine, caffeine, an</w:t>
        </w:r>
      </w:hyperlink>
    </w:p>
    <w:p w14:paraId="34097D12" w14:textId="77777777" w:rsidR="00545B28" w:rsidRPr="00545B28" w:rsidRDefault="00545B28">
      <w:pPr>
        <w:rPr>
          <w:rFonts w:cstheme="minorHAnsi"/>
          <w:sz w:val="24"/>
          <w:szCs w:val="24"/>
        </w:rPr>
      </w:pPr>
    </w:p>
    <w:p w14:paraId="02CA17EE" w14:textId="47BA2946" w:rsidR="00545B28" w:rsidRDefault="00545B28">
      <w:pPr>
        <w:rPr>
          <w:rFonts w:cstheme="minorHAnsi"/>
          <w:sz w:val="24"/>
          <w:szCs w:val="24"/>
          <w:shd w:val="clear" w:color="auto" w:fill="FFFFFF"/>
        </w:rPr>
      </w:pPr>
      <w:r w:rsidRPr="00545B28">
        <w:rPr>
          <w:rStyle w:val="Emphasis"/>
          <w:rFonts w:cstheme="minorHAnsi"/>
          <w:sz w:val="24"/>
          <w:szCs w:val="24"/>
          <w:shd w:val="clear" w:color="auto" w:fill="FFFFFF"/>
        </w:rPr>
        <w:t>Rhodiola</w:t>
      </w:r>
      <w:r w:rsidRPr="00545B28">
        <w:rPr>
          <w:rFonts w:cstheme="minorHAnsi"/>
          <w:sz w:val="24"/>
          <w:szCs w:val="24"/>
          <w:shd w:val="clear" w:color="auto" w:fill="FFFFFF"/>
        </w:rPr>
        <w:t> is reported to enhance energy levels and control how the body responds to stress, both of which can affect brain health, but the clinical evidence to support these assertions is lacking due to the low quality of many trials. No clinical studies have tested whether </w:t>
      </w:r>
      <w:r w:rsidRPr="00545B28">
        <w:rPr>
          <w:rStyle w:val="Emphasis"/>
          <w:rFonts w:cstheme="minorHAnsi"/>
          <w:sz w:val="24"/>
          <w:szCs w:val="24"/>
          <w:shd w:val="clear" w:color="auto" w:fill="FFFFFF"/>
        </w:rPr>
        <w:t>Rhodiola</w:t>
      </w:r>
      <w:r w:rsidRPr="00545B28">
        <w:rPr>
          <w:rFonts w:cstheme="minorHAnsi"/>
          <w:sz w:val="24"/>
          <w:szCs w:val="24"/>
          <w:shd w:val="clear" w:color="auto" w:fill="FFFFFF"/>
        </w:rPr>
        <w:t xml:space="preserve"> can prevent age-related cognitive decline or dementia. In one well-conducted </w:t>
      </w:r>
      <w:r w:rsidRPr="00545B28">
        <w:rPr>
          <w:rFonts w:cstheme="minorHAnsi"/>
          <w:sz w:val="24"/>
          <w:szCs w:val="24"/>
          <w:shd w:val="clear" w:color="auto" w:fill="FFFFFF"/>
        </w:rPr>
        <w:lastRenderedPageBreak/>
        <w:t>randomized, controlled clinical trial in male students (17–19 years old), researchers found no improvement in cognitive scores after 20 days of supplementation </w:t>
      </w:r>
      <w:r>
        <w:rPr>
          <w:rFonts w:cstheme="minorHAnsi"/>
          <w:sz w:val="24"/>
          <w:szCs w:val="24"/>
          <w:shd w:val="clear" w:color="auto" w:fill="FFFFFF"/>
        </w:rPr>
        <w:t>1</w:t>
      </w:r>
      <w:r w:rsidRPr="00545B28">
        <w:rPr>
          <w:rFonts w:cstheme="minorHAnsi"/>
          <w:sz w:val="24"/>
          <w:szCs w:val="24"/>
          <w:shd w:val="clear" w:color="auto" w:fill="FFFFFF"/>
        </w:rPr>
        <w:t>. And a double-blind cross-over study with 18 healthy adults prescribed 3 mg/kg of </w:t>
      </w:r>
      <w:r w:rsidRPr="00545B28">
        <w:rPr>
          <w:rStyle w:val="Emphasis"/>
          <w:rFonts w:cstheme="minorHAnsi"/>
          <w:sz w:val="24"/>
          <w:szCs w:val="24"/>
          <w:shd w:val="clear" w:color="auto" w:fill="FFFFFF"/>
        </w:rPr>
        <w:t>Rhodiola</w:t>
      </w:r>
      <w:r w:rsidRPr="00545B28">
        <w:rPr>
          <w:rFonts w:cstheme="minorHAnsi"/>
          <w:sz w:val="24"/>
          <w:szCs w:val="24"/>
          <w:shd w:val="clear" w:color="auto" w:fill="FFFFFF"/>
        </w:rPr>
        <w:t> found no effects on mood or cognitive function </w:t>
      </w:r>
      <w:r>
        <w:rPr>
          <w:rFonts w:cstheme="minorHAnsi"/>
          <w:sz w:val="24"/>
          <w:szCs w:val="24"/>
          <w:shd w:val="clear" w:color="auto" w:fill="FFFFFF"/>
        </w:rPr>
        <w:t>2</w:t>
      </w:r>
      <w:r w:rsidRPr="00545B28">
        <w:rPr>
          <w:rFonts w:cstheme="minorHAnsi"/>
          <w:sz w:val="24"/>
          <w:szCs w:val="24"/>
          <w:shd w:val="clear" w:color="auto" w:fill="FFFFFF"/>
        </w:rPr>
        <w:t>. A systematic review examining the role of </w:t>
      </w:r>
      <w:r w:rsidRPr="00545B28">
        <w:rPr>
          <w:rStyle w:val="Emphasis"/>
          <w:rFonts w:cstheme="minorHAnsi"/>
          <w:sz w:val="24"/>
          <w:szCs w:val="24"/>
          <w:shd w:val="clear" w:color="auto" w:fill="FFFFFF"/>
        </w:rPr>
        <w:t>Rhodiola </w:t>
      </w:r>
      <w:r w:rsidRPr="00545B28">
        <w:rPr>
          <w:rFonts w:cstheme="minorHAnsi"/>
          <w:sz w:val="24"/>
          <w:szCs w:val="24"/>
          <w:shd w:val="clear" w:color="auto" w:fill="FFFFFF"/>
        </w:rPr>
        <w:t>on mental fatigue reported that it was effective in some studies while not in others, but methodological flaws in the studies precluded accurate assessment of its efficacy </w:t>
      </w:r>
      <w:r>
        <w:rPr>
          <w:rFonts w:cstheme="minorHAnsi"/>
          <w:sz w:val="24"/>
          <w:szCs w:val="24"/>
          <w:shd w:val="clear" w:color="auto" w:fill="FFFFFF"/>
        </w:rPr>
        <w:t>3</w:t>
      </w:r>
      <w:r w:rsidRPr="00545B28">
        <w:rPr>
          <w:rFonts w:cstheme="minorHAnsi"/>
          <w:sz w:val="24"/>
          <w:szCs w:val="24"/>
          <w:shd w:val="clear" w:color="auto" w:fill="FFFFFF"/>
        </w:rPr>
        <w:t>. More rigorous randomized controlled trials are needed to determine the effect of </w:t>
      </w:r>
      <w:r w:rsidRPr="00545B28">
        <w:rPr>
          <w:rStyle w:val="Emphasis"/>
          <w:rFonts w:cstheme="minorHAnsi"/>
          <w:sz w:val="24"/>
          <w:szCs w:val="24"/>
          <w:shd w:val="clear" w:color="auto" w:fill="FFFFFF"/>
        </w:rPr>
        <w:t>Rhodiola</w:t>
      </w:r>
      <w:r w:rsidRPr="00545B28">
        <w:rPr>
          <w:rFonts w:cstheme="minorHAnsi"/>
          <w:sz w:val="24"/>
          <w:szCs w:val="24"/>
          <w:shd w:val="clear" w:color="auto" w:fill="FFFFFF"/>
        </w:rPr>
        <w:t> on mental fatigue.</w:t>
      </w:r>
    </w:p>
    <w:p w14:paraId="429A8A6E" w14:textId="77777777" w:rsidR="00545B28" w:rsidRPr="00545B28" w:rsidRDefault="00545B28" w:rsidP="00545B28">
      <w:pPr>
        <w:numPr>
          <w:ilvl w:val="0"/>
          <w:numId w:val="10"/>
        </w:numPr>
        <w:shd w:val="clear" w:color="auto" w:fill="FFFFFF"/>
        <w:spacing w:before="100" w:beforeAutospacing="1" w:after="240" w:line="240" w:lineRule="auto"/>
        <w:rPr>
          <w:rFonts w:eastAsia="Times New Roman" w:cstheme="minorHAnsi"/>
          <w:kern w:val="0"/>
          <w:sz w:val="18"/>
          <w:szCs w:val="18"/>
          <w14:ligatures w14:val="none"/>
        </w:rPr>
      </w:pPr>
      <w:r w:rsidRPr="00545B28">
        <w:rPr>
          <w:rFonts w:eastAsia="Times New Roman" w:cstheme="minorHAnsi"/>
          <w:kern w:val="0"/>
          <w:sz w:val="18"/>
          <w:szCs w:val="18"/>
          <w14:ligatures w14:val="none"/>
        </w:rPr>
        <w:t>Spasov AA, Wikman GK, Mandrikov VB et al. (2000) </w:t>
      </w:r>
      <w:hyperlink r:id="rId43" w:tgtFrame="_blank" w:history="1">
        <w:r w:rsidRPr="00545B28">
          <w:rPr>
            <w:rFonts w:eastAsia="Times New Roman" w:cstheme="minorHAnsi"/>
            <w:kern w:val="0"/>
            <w:sz w:val="18"/>
            <w:szCs w:val="18"/>
            <w:u w:val="single"/>
            <w14:ligatures w14:val="none"/>
          </w:rPr>
          <w:t>A double-blind, placebo-controlled pilot study of the stimulating and adaptogenic effect of Rhodiola rosea SHR-5 extract on the fatigue of students caused by stress during an examination period with a repeated low-dose regimen</w:t>
        </w:r>
      </w:hyperlink>
      <w:r w:rsidRPr="00545B28">
        <w:rPr>
          <w:rFonts w:eastAsia="Times New Roman" w:cstheme="minorHAnsi"/>
          <w:kern w:val="0"/>
          <w:sz w:val="18"/>
          <w:szCs w:val="18"/>
          <w14:ligatures w14:val="none"/>
        </w:rPr>
        <w:t>. </w:t>
      </w:r>
      <w:proofErr w:type="gramStart"/>
      <w:r w:rsidRPr="00545B28">
        <w:rPr>
          <w:rFonts w:eastAsia="Times New Roman" w:cstheme="minorHAnsi"/>
          <w:i/>
          <w:iCs/>
          <w:kern w:val="0"/>
          <w:sz w:val="18"/>
          <w:szCs w:val="18"/>
          <w14:ligatures w14:val="none"/>
        </w:rPr>
        <w:t>Phytomedicine :</w:t>
      </w:r>
      <w:proofErr w:type="gramEnd"/>
      <w:r w:rsidRPr="00545B28">
        <w:rPr>
          <w:rFonts w:eastAsia="Times New Roman" w:cstheme="minorHAnsi"/>
          <w:i/>
          <w:iCs/>
          <w:kern w:val="0"/>
          <w:sz w:val="18"/>
          <w:szCs w:val="18"/>
          <w14:ligatures w14:val="none"/>
        </w:rPr>
        <w:t xml:space="preserve"> international journal of phytotherapy and </w:t>
      </w:r>
      <w:proofErr w:type="spellStart"/>
      <w:r w:rsidRPr="00545B28">
        <w:rPr>
          <w:rFonts w:eastAsia="Times New Roman" w:cstheme="minorHAnsi"/>
          <w:i/>
          <w:iCs/>
          <w:kern w:val="0"/>
          <w:sz w:val="18"/>
          <w:szCs w:val="18"/>
          <w14:ligatures w14:val="none"/>
        </w:rPr>
        <w:t>phytophqarmacology</w:t>
      </w:r>
      <w:proofErr w:type="spellEnd"/>
      <w:r w:rsidRPr="00545B28">
        <w:rPr>
          <w:rFonts w:eastAsia="Times New Roman" w:cstheme="minorHAnsi"/>
          <w:kern w:val="0"/>
          <w:sz w:val="18"/>
          <w:szCs w:val="18"/>
          <w14:ligatures w14:val="none"/>
        </w:rPr>
        <w:t> 7, 85-89.</w:t>
      </w:r>
    </w:p>
    <w:p w14:paraId="3DBD6DE9" w14:textId="77777777" w:rsidR="00545B28" w:rsidRPr="00545B28" w:rsidRDefault="00545B28" w:rsidP="00545B28">
      <w:pPr>
        <w:numPr>
          <w:ilvl w:val="0"/>
          <w:numId w:val="10"/>
        </w:numPr>
        <w:shd w:val="clear" w:color="auto" w:fill="FFFFFF"/>
        <w:spacing w:before="100" w:beforeAutospacing="1" w:after="240" w:line="240" w:lineRule="auto"/>
        <w:rPr>
          <w:rFonts w:eastAsia="Times New Roman" w:cstheme="minorHAnsi"/>
          <w:kern w:val="0"/>
          <w:sz w:val="18"/>
          <w:szCs w:val="18"/>
          <w14:ligatures w14:val="none"/>
        </w:rPr>
      </w:pPr>
      <w:r w:rsidRPr="00545B28">
        <w:rPr>
          <w:rFonts w:eastAsia="Times New Roman" w:cstheme="minorHAnsi"/>
          <w:kern w:val="0"/>
          <w:sz w:val="18"/>
          <w:szCs w:val="18"/>
          <w14:ligatures w14:val="none"/>
        </w:rPr>
        <w:t>Noreen EE, Buckley JG, Lewis SL et al. (2013) </w:t>
      </w:r>
      <w:hyperlink r:id="rId44" w:tgtFrame="_blank" w:history="1">
        <w:r w:rsidRPr="00545B28">
          <w:rPr>
            <w:rFonts w:eastAsia="Times New Roman" w:cstheme="minorHAnsi"/>
            <w:kern w:val="0"/>
            <w:sz w:val="18"/>
            <w:szCs w:val="18"/>
            <w:u w:val="single"/>
            <w14:ligatures w14:val="none"/>
          </w:rPr>
          <w:t>The effects of an acute dose of Rhodiola rosea on endurance exercise performance</w:t>
        </w:r>
      </w:hyperlink>
      <w:r w:rsidRPr="00545B28">
        <w:rPr>
          <w:rFonts w:eastAsia="Times New Roman" w:cstheme="minorHAnsi"/>
          <w:kern w:val="0"/>
          <w:sz w:val="18"/>
          <w:szCs w:val="18"/>
          <w14:ligatures w14:val="none"/>
        </w:rPr>
        <w:t>. </w:t>
      </w:r>
      <w:r w:rsidRPr="00545B28">
        <w:rPr>
          <w:rFonts w:eastAsia="Times New Roman" w:cstheme="minorHAnsi"/>
          <w:i/>
          <w:iCs/>
          <w:kern w:val="0"/>
          <w:sz w:val="18"/>
          <w:szCs w:val="18"/>
          <w14:ligatures w14:val="none"/>
        </w:rPr>
        <w:t>Journal of strength and conditioning research / National Strength &amp; Conditioning Association</w:t>
      </w:r>
      <w:r w:rsidRPr="00545B28">
        <w:rPr>
          <w:rFonts w:eastAsia="Times New Roman" w:cstheme="minorHAnsi"/>
          <w:kern w:val="0"/>
          <w:sz w:val="18"/>
          <w:szCs w:val="18"/>
          <w14:ligatures w14:val="none"/>
        </w:rPr>
        <w:t> 27, 839-847.</w:t>
      </w:r>
    </w:p>
    <w:p w14:paraId="272E5638" w14:textId="77777777" w:rsidR="00545B28" w:rsidRPr="00545B28" w:rsidRDefault="00545B28" w:rsidP="00545B28">
      <w:pPr>
        <w:numPr>
          <w:ilvl w:val="0"/>
          <w:numId w:val="10"/>
        </w:numPr>
        <w:shd w:val="clear" w:color="auto" w:fill="FFFFFF"/>
        <w:spacing w:before="100" w:beforeAutospacing="1" w:after="240" w:line="240" w:lineRule="auto"/>
        <w:rPr>
          <w:rFonts w:eastAsia="Times New Roman" w:cstheme="minorHAnsi"/>
          <w:kern w:val="0"/>
          <w:sz w:val="18"/>
          <w:szCs w:val="18"/>
          <w14:ligatures w14:val="none"/>
        </w:rPr>
      </w:pPr>
      <w:r w:rsidRPr="00545B28">
        <w:rPr>
          <w:rFonts w:eastAsia="Times New Roman" w:cstheme="minorHAnsi"/>
          <w:kern w:val="0"/>
          <w:sz w:val="18"/>
          <w:szCs w:val="18"/>
          <w14:ligatures w14:val="none"/>
        </w:rPr>
        <w:t xml:space="preserve">Ishaque S, </w:t>
      </w:r>
      <w:proofErr w:type="spellStart"/>
      <w:r w:rsidRPr="00545B28">
        <w:rPr>
          <w:rFonts w:eastAsia="Times New Roman" w:cstheme="minorHAnsi"/>
          <w:kern w:val="0"/>
          <w:sz w:val="18"/>
          <w:szCs w:val="18"/>
          <w14:ligatures w14:val="none"/>
        </w:rPr>
        <w:t>Shamseer</w:t>
      </w:r>
      <w:proofErr w:type="spellEnd"/>
      <w:r w:rsidRPr="00545B28">
        <w:rPr>
          <w:rFonts w:eastAsia="Times New Roman" w:cstheme="minorHAnsi"/>
          <w:kern w:val="0"/>
          <w:sz w:val="18"/>
          <w:szCs w:val="18"/>
          <w14:ligatures w14:val="none"/>
        </w:rPr>
        <w:t xml:space="preserve"> L, </w:t>
      </w:r>
      <w:proofErr w:type="spellStart"/>
      <w:r w:rsidRPr="00545B28">
        <w:rPr>
          <w:rFonts w:eastAsia="Times New Roman" w:cstheme="minorHAnsi"/>
          <w:kern w:val="0"/>
          <w:sz w:val="18"/>
          <w:szCs w:val="18"/>
          <w14:ligatures w14:val="none"/>
        </w:rPr>
        <w:t>Bukutu</w:t>
      </w:r>
      <w:proofErr w:type="spellEnd"/>
      <w:r w:rsidRPr="00545B28">
        <w:rPr>
          <w:rFonts w:eastAsia="Times New Roman" w:cstheme="minorHAnsi"/>
          <w:kern w:val="0"/>
          <w:sz w:val="18"/>
          <w:szCs w:val="18"/>
          <w14:ligatures w14:val="none"/>
        </w:rPr>
        <w:t xml:space="preserve"> C et al. (2012) </w:t>
      </w:r>
      <w:hyperlink r:id="rId45" w:tgtFrame="_blank" w:history="1">
        <w:r w:rsidRPr="00545B28">
          <w:rPr>
            <w:rFonts w:eastAsia="Times New Roman" w:cstheme="minorHAnsi"/>
            <w:kern w:val="0"/>
            <w:sz w:val="18"/>
            <w:szCs w:val="18"/>
            <w:u w:val="single"/>
            <w14:ligatures w14:val="none"/>
          </w:rPr>
          <w:t>Rhodiola rosea for physical and mental fatigue: a systematic review</w:t>
        </w:r>
      </w:hyperlink>
      <w:r w:rsidRPr="00545B28">
        <w:rPr>
          <w:rFonts w:eastAsia="Times New Roman" w:cstheme="minorHAnsi"/>
          <w:kern w:val="0"/>
          <w:sz w:val="18"/>
          <w:szCs w:val="18"/>
          <w14:ligatures w14:val="none"/>
        </w:rPr>
        <w:t>. </w:t>
      </w:r>
      <w:r w:rsidRPr="00545B28">
        <w:rPr>
          <w:rFonts w:eastAsia="Times New Roman" w:cstheme="minorHAnsi"/>
          <w:i/>
          <w:iCs/>
          <w:kern w:val="0"/>
          <w:sz w:val="18"/>
          <w:szCs w:val="18"/>
          <w14:ligatures w14:val="none"/>
        </w:rPr>
        <w:t>BMC complementary and alternative medicine</w:t>
      </w:r>
      <w:r w:rsidRPr="00545B28">
        <w:rPr>
          <w:rFonts w:eastAsia="Times New Roman" w:cstheme="minorHAnsi"/>
          <w:kern w:val="0"/>
          <w:sz w:val="18"/>
          <w:szCs w:val="18"/>
          <w14:ligatures w14:val="none"/>
        </w:rPr>
        <w:t> 12, 70.</w:t>
      </w:r>
    </w:p>
    <w:p w14:paraId="5802369D" w14:textId="77777777" w:rsidR="00545B28" w:rsidRDefault="00545B28">
      <w:pPr>
        <w:rPr>
          <w:rFonts w:cstheme="minorHAnsi"/>
          <w:sz w:val="24"/>
          <w:szCs w:val="24"/>
        </w:rPr>
      </w:pPr>
    </w:p>
    <w:p w14:paraId="7779BBC8" w14:textId="7700226F" w:rsidR="009542E8" w:rsidRDefault="009542E8">
      <w:pPr>
        <w:rPr>
          <w:rFonts w:cstheme="minorHAnsi"/>
          <w:sz w:val="24"/>
          <w:szCs w:val="24"/>
          <w:shd w:val="clear" w:color="auto" w:fill="FFFFFF"/>
        </w:rPr>
      </w:pPr>
      <w:r w:rsidRPr="009542E8">
        <w:rPr>
          <w:rFonts w:cstheme="minorHAnsi"/>
          <w:sz w:val="24"/>
          <w:szCs w:val="24"/>
          <w:shd w:val="clear" w:color="auto" w:fill="FFFFFF"/>
        </w:rPr>
        <w:t xml:space="preserve">Several experiments suggest </w:t>
      </w:r>
      <w:r w:rsidRPr="009542E8">
        <w:rPr>
          <w:rFonts w:cstheme="minorHAnsi"/>
          <w:b/>
          <w:bCs/>
          <w:sz w:val="24"/>
          <w:szCs w:val="24"/>
          <w:shd w:val="clear" w:color="auto" w:fill="FFFFFF"/>
        </w:rPr>
        <w:t>berberine</w:t>
      </w:r>
      <w:r w:rsidRPr="009542E8">
        <w:rPr>
          <w:rFonts w:cstheme="minorHAnsi"/>
          <w:sz w:val="24"/>
          <w:szCs w:val="24"/>
          <w:shd w:val="clear" w:color="auto" w:fill="FFFFFF"/>
        </w:rPr>
        <w:t xml:space="preserve"> may promote cognitive function </w:t>
      </w:r>
      <w:r>
        <w:rPr>
          <w:rFonts w:cstheme="minorHAnsi"/>
          <w:sz w:val="24"/>
          <w:szCs w:val="24"/>
          <w:shd w:val="clear" w:color="auto" w:fill="FFFFFF"/>
        </w:rPr>
        <w:t>1,2</w:t>
      </w:r>
      <w:r w:rsidRPr="009542E8">
        <w:rPr>
          <w:rFonts w:cstheme="minorHAnsi"/>
          <w:sz w:val="24"/>
          <w:szCs w:val="24"/>
          <w:shd w:val="clear" w:color="auto" w:fill="FFFFFF"/>
        </w:rPr>
        <w:t>, protect neurons by inhibiting an enzyme that produces toxic beta-amyloid </w:t>
      </w:r>
      <w:r>
        <w:rPr>
          <w:rFonts w:cstheme="minorHAnsi"/>
          <w:sz w:val="24"/>
          <w:szCs w:val="24"/>
          <w:shd w:val="clear" w:color="auto" w:fill="FFFFFF"/>
        </w:rPr>
        <w:t>3</w:t>
      </w:r>
      <w:r w:rsidRPr="009542E8">
        <w:rPr>
          <w:rFonts w:cstheme="minorHAnsi"/>
          <w:sz w:val="24"/>
          <w:szCs w:val="24"/>
          <w:shd w:val="clear" w:color="auto" w:fill="FFFFFF"/>
        </w:rPr>
        <w:t>, and reduce brain inflammation </w:t>
      </w:r>
      <w:r>
        <w:rPr>
          <w:rFonts w:cstheme="minorHAnsi"/>
          <w:sz w:val="24"/>
          <w:szCs w:val="24"/>
          <w:shd w:val="clear" w:color="auto" w:fill="FFFFFF"/>
        </w:rPr>
        <w:t>2</w:t>
      </w:r>
      <w:r w:rsidRPr="009542E8">
        <w:rPr>
          <w:rFonts w:cstheme="minorHAnsi"/>
          <w:sz w:val="24"/>
          <w:szCs w:val="24"/>
          <w:shd w:val="clear" w:color="auto" w:fill="FFFFFF"/>
        </w:rPr>
        <w:t xml:space="preserve">. </w:t>
      </w:r>
    </w:p>
    <w:p w14:paraId="4FC04245" w14:textId="77777777" w:rsidR="009542E8" w:rsidRPr="009542E8" w:rsidRDefault="009542E8" w:rsidP="009542E8">
      <w:pPr>
        <w:numPr>
          <w:ilvl w:val="0"/>
          <w:numId w:val="11"/>
        </w:numPr>
        <w:shd w:val="clear" w:color="auto" w:fill="FFFFFF"/>
        <w:spacing w:before="100" w:beforeAutospacing="1" w:after="240" w:line="240" w:lineRule="auto"/>
        <w:rPr>
          <w:rFonts w:eastAsia="Times New Roman" w:cstheme="minorHAnsi"/>
          <w:kern w:val="0"/>
          <w:sz w:val="18"/>
          <w:szCs w:val="18"/>
          <w14:ligatures w14:val="none"/>
        </w:rPr>
      </w:pPr>
      <w:r w:rsidRPr="009542E8">
        <w:rPr>
          <w:rFonts w:eastAsia="Times New Roman" w:cstheme="minorHAnsi"/>
          <w:kern w:val="0"/>
          <w:sz w:val="18"/>
          <w:szCs w:val="18"/>
          <w14:ligatures w14:val="none"/>
        </w:rPr>
        <w:t>Haghani M, Shabani M, Tondar M (2015) </w:t>
      </w:r>
      <w:hyperlink r:id="rId46" w:tgtFrame="_blank" w:history="1">
        <w:r w:rsidRPr="009542E8">
          <w:rPr>
            <w:rFonts w:eastAsia="Times New Roman" w:cstheme="minorHAnsi"/>
            <w:kern w:val="0"/>
            <w:sz w:val="18"/>
            <w:szCs w:val="18"/>
            <w:u w:val="single"/>
            <w14:ligatures w14:val="none"/>
          </w:rPr>
          <w:t>The therapeutic potential of berberine against the altered intrinsic properties of the CA1 neurons induced by Abeta neurotoxicity</w:t>
        </w:r>
      </w:hyperlink>
      <w:r w:rsidRPr="009542E8">
        <w:rPr>
          <w:rFonts w:eastAsia="Times New Roman" w:cstheme="minorHAnsi"/>
          <w:kern w:val="0"/>
          <w:sz w:val="18"/>
          <w:szCs w:val="18"/>
          <w14:ligatures w14:val="none"/>
        </w:rPr>
        <w:t>. </w:t>
      </w:r>
      <w:proofErr w:type="spellStart"/>
      <w:r w:rsidRPr="009542E8">
        <w:rPr>
          <w:rFonts w:eastAsia="Times New Roman" w:cstheme="minorHAnsi"/>
          <w:i/>
          <w:iCs/>
          <w:kern w:val="0"/>
          <w:sz w:val="18"/>
          <w:szCs w:val="18"/>
          <w14:ligatures w14:val="none"/>
        </w:rPr>
        <w:t>Eur</w:t>
      </w:r>
      <w:proofErr w:type="spellEnd"/>
      <w:r w:rsidRPr="009542E8">
        <w:rPr>
          <w:rFonts w:eastAsia="Times New Roman" w:cstheme="minorHAnsi"/>
          <w:i/>
          <w:iCs/>
          <w:kern w:val="0"/>
          <w:sz w:val="18"/>
          <w:szCs w:val="18"/>
          <w14:ligatures w14:val="none"/>
        </w:rPr>
        <w:t xml:space="preserve"> J </w:t>
      </w:r>
      <w:proofErr w:type="spellStart"/>
      <w:r w:rsidRPr="009542E8">
        <w:rPr>
          <w:rFonts w:eastAsia="Times New Roman" w:cstheme="minorHAnsi"/>
          <w:i/>
          <w:iCs/>
          <w:kern w:val="0"/>
          <w:sz w:val="18"/>
          <w:szCs w:val="18"/>
          <w14:ligatures w14:val="none"/>
        </w:rPr>
        <w:t>Pharmacol</w:t>
      </w:r>
      <w:proofErr w:type="spellEnd"/>
      <w:r w:rsidRPr="009542E8">
        <w:rPr>
          <w:rFonts w:eastAsia="Times New Roman" w:cstheme="minorHAnsi"/>
          <w:kern w:val="0"/>
          <w:sz w:val="18"/>
          <w:szCs w:val="18"/>
          <w14:ligatures w14:val="none"/>
        </w:rPr>
        <w:t> 758, 82-88.</w:t>
      </w:r>
    </w:p>
    <w:p w14:paraId="1DBB2D4E" w14:textId="77777777" w:rsidR="009542E8" w:rsidRPr="009542E8" w:rsidRDefault="009542E8" w:rsidP="009542E8">
      <w:pPr>
        <w:numPr>
          <w:ilvl w:val="0"/>
          <w:numId w:val="11"/>
        </w:numPr>
        <w:shd w:val="clear" w:color="auto" w:fill="FFFFFF"/>
        <w:spacing w:before="100" w:beforeAutospacing="1" w:after="240" w:line="240" w:lineRule="auto"/>
        <w:rPr>
          <w:rFonts w:eastAsia="Times New Roman" w:cstheme="minorHAnsi"/>
          <w:kern w:val="0"/>
          <w:sz w:val="18"/>
          <w:szCs w:val="18"/>
          <w14:ligatures w14:val="none"/>
        </w:rPr>
      </w:pPr>
      <w:r w:rsidRPr="009542E8">
        <w:rPr>
          <w:rFonts w:eastAsia="Times New Roman" w:cstheme="minorHAnsi"/>
          <w:kern w:val="0"/>
          <w:sz w:val="18"/>
          <w:szCs w:val="18"/>
          <w14:ligatures w14:val="none"/>
        </w:rPr>
        <w:t>Zhang Z, Li X, Li F et al. (2016) </w:t>
      </w:r>
      <w:hyperlink r:id="rId47" w:tgtFrame="_blank" w:history="1">
        <w:r w:rsidRPr="009542E8">
          <w:rPr>
            <w:rFonts w:eastAsia="Times New Roman" w:cstheme="minorHAnsi"/>
            <w:kern w:val="0"/>
            <w:sz w:val="18"/>
            <w:szCs w:val="18"/>
            <w:u w:val="single"/>
            <w14:ligatures w14:val="none"/>
          </w:rPr>
          <w:t>Berberine alleviates postoperative cognitive dysfunction by suppressing neuroinflammation in aged mice</w:t>
        </w:r>
      </w:hyperlink>
      <w:r w:rsidRPr="009542E8">
        <w:rPr>
          <w:rFonts w:eastAsia="Times New Roman" w:cstheme="minorHAnsi"/>
          <w:kern w:val="0"/>
          <w:sz w:val="18"/>
          <w:szCs w:val="18"/>
          <w14:ligatures w14:val="none"/>
        </w:rPr>
        <w:t>. </w:t>
      </w:r>
      <w:r w:rsidRPr="009542E8">
        <w:rPr>
          <w:rFonts w:eastAsia="Times New Roman" w:cstheme="minorHAnsi"/>
          <w:i/>
          <w:iCs/>
          <w:kern w:val="0"/>
          <w:sz w:val="18"/>
          <w:szCs w:val="18"/>
          <w14:ligatures w14:val="none"/>
        </w:rPr>
        <w:t xml:space="preserve">Int </w:t>
      </w:r>
      <w:proofErr w:type="spellStart"/>
      <w:r w:rsidRPr="009542E8">
        <w:rPr>
          <w:rFonts w:eastAsia="Times New Roman" w:cstheme="minorHAnsi"/>
          <w:i/>
          <w:iCs/>
          <w:kern w:val="0"/>
          <w:sz w:val="18"/>
          <w:szCs w:val="18"/>
          <w14:ligatures w14:val="none"/>
        </w:rPr>
        <w:t>Immunopharmacol</w:t>
      </w:r>
      <w:proofErr w:type="spellEnd"/>
      <w:r w:rsidRPr="009542E8">
        <w:rPr>
          <w:rFonts w:eastAsia="Times New Roman" w:cstheme="minorHAnsi"/>
          <w:kern w:val="0"/>
          <w:sz w:val="18"/>
          <w:szCs w:val="18"/>
          <w14:ligatures w14:val="none"/>
        </w:rPr>
        <w:t> 38, 426-433.</w:t>
      </w:r>
    </w:p>
    <w:p w14:paraId="30C5D3D1" w14:textId="77777777" w:rsidR="009542E8" w:rsidRPr="009542E8" w:rsidRDefault="009542E8" w:rsidP="009542E8">
      <w:pPr>
        <w:numPr>
          <w:ilvl w:val="0"/>
          <w:numId w:val="11"/>
        </w:numPr>
        <w:shd w:val="clear" w:color="auto" w:fill="FFFFFF"/>
        <w:spacing w:before="100" w:beforeAutospacing="1" w:after="240" w:line="240" w:lineRule="auto"/>
        <w:rPr>
          <w:rFonts w:eastAsia="Times New Roman" w:cstheme="minorHAnsi"/>
          <w:kern w:val="0"/>
          <w:sz w:val="18"/>
          <w:szCs w:val="18"/>
          <w14:ligatures w14:val="none"/>
        </w:rPr>
      </w:pPr>
      <w:r w:rsidRPr="009542E8">
        <w:rPr>
          <w:rFonts w:eastAsia="Times New Roman" w:cstheme="minorHAnsi"/>
          <w:kern w:val="0"/>
          <w:sz w:val="18"/>
          <w:szCs w:val="18"/>
          <w14:ligatures w14:val="none"/>
        </w:rPr>
        <w:t>Panahi N, Mahmoudian M, Mortazavi P et al. (2013) </w:t>
      </w:r>
      <w:hyperlink r:id="rId48" w:tgtFrame="_blank" w:history="1">
        <w:r w:rsidRPr="009542E8">
          <w:rPr>
            <w:rFonts w:eastAsia="Times New Roman" w:cstheme="minorHAnsi"/>
            <w:kern w:val="0"/>
            <w:sz w:val="18"/>
            <w:szCs w:val="18"/>
            <w:u w:val="single"/>
            <w14:ligatures w14:val="none"/>
          </w:rPr>
          <w:t>Effects of berberine on beta-secretase activity in a rabbit model of Alzheimer's disease</w:t>
        </w:r>
      </w:hyperlink>
      <w:r w:rsidRPr="009542E8">
        <w:rPr>
          <w:rFonts w:eastAsia="Times New Roman" w:cstheme="minorHAnsi"/>
          <w:kern w:val="0"/>
          <w:sz w:val="18"/>
          <w:szCs w:val="18"/>
          <w14:ligatures w14:val="none"/>
        </w:rPr>
        <w:t>. </w:t>
      </w:r>
      <w:r w:rsidRPr="009542E8">
        <w:rPr>
          <w:rFonts w:eastAsia="Times New Roman" w:cstheme="minorHAnsi"/>
          <w:i/>
          <w:iCs/>
          <w:kern w:val="0"/>
          <w:sz w:val="18"/>
          <w:szCs w:val="18"/>
          <w14:ligatures w14:val="none"/>
        </w:rPr>
        <w:t xml:space="preserve">Archives of medical </w:t>
      </w:r>
      <w:proofErr w:type="gramStart"/>
      <w:r w:rsidRPr="009542E8">
        <w:rPr>
          <w:rFonts w:eastAsia="Times New Roman" w:cstheme="minorHAnsi"/>
          <w:i/>
          <w:iCs/>
          <w:kern w:val="0"/>
          <w:sz w:val="18"/>
          <w:szCs w:val="18"/>
          <w14:ligatures w14:val="none"/>
        </w:rPr>
        <w:t>science :</w:t>
      </w:r>
      <w:proofErr w:type="gramEnd"/>
      <w:r w:rsidRPr="009542E8">
        <w:rPr>
          <w:rFonts w:eastAsia="Times New Roman" w:cstheme="minorHAnsi"/>
          <w:i/>
          <w:iCs/>
          <w:kern w:val="0"/>
          <w:sz w:val="18"/>
          <w:szCs w:val="18"/>
          <w14:ligatures w14:val="none"/>
        </w:rPr>
        <w:t xml:space="preserve"> AMS</w:t>
      </w:r>
      <w:r w:rsidRPr="009542E8">
        <w:rPr>
          <w:rFonts w:eastAsia="Times New Roman" w:cstheme="minorHAnsi"/>
          <w:kern w:val="0"/>
          <w:sz w:val="18"/>
          <w:szCs w:val="18"/>
          <w14:ligatures w14:val="none"/>
        </w:rPr>
        <w:t> 9, 146-150.</w:t>
      </w:r>
    </w:p>
    <w:p w14:paraId="620C73DE" w14:textId="77777777" w:rsidR="009542E8" w:rsidRDefault="009542E8">
      <w:pPr>
        <w:rPr>
          <w:rFonts w:cstheme="minorHAnsi"/>
          <w:sz w:val="24"/>
          <w:szCs w:val="24"/>
        </w:rPr>
      </w:pPr>
    </w:p>
    <w:p w14:paraId="618317EB" w14:textId="7D69D7FC" w:rsidR="009542E8" w:rsidRPr="009542E8" w:rsidRDefault="009542E8" w:rsidP="009542E8">
      <w:pPr>
        <w:shd w:val="clear" w:color="auto" w:fill="FFFFFF"/>
        <w:spacing w:after="300" w:line="240" w:lineRule="auto"/>
        <w:textAlignment w:val="baseline"/>
        <w:rPr>
          <w:rFonts w:eastAsia="Times New Roman" w:cstheme="minorHAnsi"/>
          <w:color w:val="000000"/>
          <w:kern w:val="0"/>
          <w:sz w:val="24"/>
          <w:szCs w:val="24"/>
          <w14:ligatures w14:val="none"/>
        </w:rPr>
      </w:pPr>
      <w:proofErr w:type="spellStart"/>
      <w:r w:rsidRPr="009542E8">
        <w:rPr>
          <w:rFonts w:eastAsia="Times New Roman" w:cstheme="minorHAnsi"/>
          <w:color w:val="000000"/>
          <w:kern w:val="0"/>
          <w:sz w:val="24"/>
          <w:szCs w:val="24"/>
          <w14:ligatures w14:val="none"/>
        </w:rPr>
        <w:t>Vinomerix™Elite</w:t>
      </w:r>
      <w:proofErr w:type="spellEnd"/>
      <w:r w:rsidRPr="009542E8">
        <w:rPr>
          <w:rFonts w:eastAsia="Times New Roman" w:cstheme="minorHAnsi"/>
          <w:color w:val="000000"/>
          <w:kern w:val="0"/>
          <w:sz w:val="24"/>
          <w:szCs w:val="24"/>
          <w14:ligatures w14:val="none"/>
        </w:rPr>
        <w:t xml:space="preserve">: </w:t>
      </w:r>
      <w:r w:rsidRPr="009542E8">
        <w:rPr>
          <w:rFonts w:eastAsia="Times New Roman" w:cstheme="minorHAnsi"/>
          <w:color w:val="000000"/>
          <w:kern w:val="0"/>
          <w:sz w:val="24"/>
          <w:szCs w:val="24"/>
          <w14:ligatures w14:val="none"/>
        </w:rPr>
        <w:t>In an era marked by evolving health challenges, finding effective safe solutions for preservation of health and wellness has become paramount. Human beings today face various health issues ranging from oxidative stress to cardiovascular ailments. All the Health challenges faced by human beings are associated with High calorie diet, Lack of Physical activity, Excessive Alcohol consumption, smoking, Mental health condition such as Stress, Trauma etc. all conditions together lead to challenges such as Oxidative stress &amp; Aging, Cardiovascular diseases, Cognitive decline, and many others.</w:t>
      </w:r>
    </w:p>
    <w:p w14:paraId="7D3970DA" w14:textId="77777777" w:rsidR="009542E8" w:rsidRPr="009542E8" w:rsidRDefault="009542E8" w:rsidP="009542E8">
      <w:pPr>
        <w:shd w:val="clear" w:color="auto" w:fill="FFFFFF"/>
        <w:spacing w:after="300" w:line="240" w:lineRule="auto"/>
        <w:textAlignment w:val="baseline"/>
        <w:rPr>
          <w:rFonts w:eastAsia="Times New Roman" w:cstheme="minorHAnsi"/>
          <w:color w:val="000000"/>
          <w:kern w:val="0"/>
          <w:sz w:val="24"/>
          <w:szCs w:val="24"/>
          <w14:ligatures w14:val="none"/>
        </w:rPr>
      </w:pPr>
      <w:r w:rsidRPr="009542E8">
        <w:rPr>
          <w:rFonts w:eastAsia="Times New Roman" w:cstheme="minorHAnsi"/>
          <w:color w:val="000000"/>
          <w:kern w:val="0"/>
          <w:sz w:val="24"/>
          <w:szCs w:val="24"/>
          <w14:ligatures w14:val="none"/>
        </w:rPr>
        <w:t>However, nature provides us with powerful allies like grape seed extract, which offer holistic solutions to these contemporary health issues. From combating oxidative stress and supporting cardiovascular health to preserving cognitive function and promoting skin wellness, the benefits of grape seed extract are extensive.</w:t>
      </w:r>
    </w:p>
    <w:p w14:paraId="1FAB5D46" w14:textId="77777777" w:rsidR="009542E8" w:rsidRPr="009542E8" w:rsidRDefault="009542E8" w:rsidP="009542E8">
      <w:pPr>
        <w:shd w:val="clear" w:color="auto" w:fill="FFFFFF"/>
        <w:spacing w:after="300" w:line="240" w:lineRule="auto"/>
        <w:textAlignment w:val="baseline"/>
        <w:rPr>
          <w:rFonts w:eastAsia="Times New Roman" w:cstheme="minorHAnsi"/>
          <w:color w:val="000000"/>
          <w:kern w:val="0"/>
          <w:sz w:val="24"/>
          <w:szCs w:val="24"/>
          <w14:ligatures w14:val="none"/>
        </w:rPr>
      </w:pPr>
      <w:r w:rsidRPr="009542E8">
        <w:rPr>
          <w:rFonts w:eastAsia="Times New Roman" w:cstheme="minorHAnsi"/>
          <w:color w:val="000000"/>
          <w:kern w:val="0"/>
          <w:sz w:val="24"/>
          <w:szCs w:val="24"/>
          <w14:ligatures w14:val="none"/>
        </w:rPr>
        <w:lastRenderedPageBreak/>
        <w:t>Grape seed extract and its numerous linked health advantages became notable in the 1980s amid the discussion of the “French Paradox,” which highlighted the significance of polyphenols known as Oligomeric Proanthocyanidins (OPCs). These OPCs are abundantly present in grape skin, seed, and pulp. Numerous studies have been conducted further and published on OPCs, which have further identified that monomeric units such as Catechin(C), Epicatechin (EC) along with Oligomers, contribute to enhanced health benefits. The monomeric units are more bioavailable, leading to increased absorption and utilization within the body.</w:t>
      </w:r>
    </w:p>
    <w:p w14:paraId="0C26067F" w14:textId="77777777" w:rsidR="009542E8" w:rsidRPr="009542E8" w:rsidRDefault="009542E8" w:rsidP="009542E8">
      <w:pPr>
        <w:shd w:val="clear" w:color="auto" w:fill="FFFFFF"/>
        <w:spacing w:after="300" w:line="240" w:lineRule="auto"/>
        <w:textAlignment w:val="baseline"/>
        <w:rPr>
          <w:rFonts w:eastAsia="Times New Roman" w:cstheme="minorHAnsi"/>
          <w:color w:val="000000"/>
          <w:kern w:val="0"/>
          <w:sz w:val="24"/>
          <w:szCs w:val="24"/>
          <w14:ligatures w14:val="none"/>
        </w:rPr>
      </w:pPr>
      <w:r w:rsidRPr="009542E8">
        <w:rPr>
          <w:rFonts w:eastAsia="Times New Roman" w:cstheme="minorHAnsi"/>
          <w:color w:val="000000"/>
          <w:kern w:val="0"/>
          <w:sz w:val="24"/>
          <w:szCs w:val="24"/>
          <w14:ligatures w14:val="none"/>
        </w:rPr>
        <w:t>Vinomerix is purified grape seed extract series derived from the world’s finest grape growing champagne region of France. These extract series are standardized to monomers ranging from 5%,16%-19%, and 25% by HPLC. The varied ranges of Monomers in Vinomerix show their potential health benefits through the following mechanism of action:</w:t>
      </w:r>
    </w:p>
    <w:p w14:paraId="29D3F53A" w14:textId="77777777" w:rsidR="009542E8" w:rsidRPr="009542E8" w:rsidRDefault="009542E8" w:rsidP="009542E8">
      <w:pPr>
        <w:numPr>
          <w:ilvl w:val="0"/>
          <w:numId w:val="12"/>
        </w:numPr>
        <w:shd w:val="clear" w:color="auto" w:fill="FFFFFF"/>
        <w:spacing w:after="30" w:line="240" w:lineRule="auto"/>
        <w:textAlignment w:val="baseline"/>
        <w:rPr>
          <w:rFonts w:eastAsia="Times New Roman" w:cstheme="minorHAnsi"/>
          <w:color w:val="000000"/>
          <w:kern w:val="0"/>
          <w:sz w:val="24"/>
          <w:szCs w:val="24"/>
          <w14:ligatures w14:val="none"/>
        </w:rPr>
      </w:pPr>
      <w:r w:rsidRPr="009542E8">
        <w:rPr>
          <w:rFonts w:eastAsia="Times New Roman" w:cstheme="minorHAnsi"/>
          <w:color w:val="000000"/>
          <w:kern w:val="0"/>
          <w:sz w:val="24"/>
          <w:szCs w:val="24"/>
          <w14:ligatures w14:val="none"/>
        </w:rPr>
        <w:t> Antioxidant Activity: Grape seed monomers are powerful antioxidants that scavenge free radicals and reactive oxygen species (ROS) in the body. Free radicals are unstable molecules that can cause oxidative damage to cells, proteins, and DNA, contributing to aging and various diseases. Grape seed monomers help neutralize these harmful molecules, thereby reducing oxidative stress and protecting cells from damage.</w:t>
      </w:r>
    </w:p>
    <w:p w14:paraId="437389A9" w14:textId="77777777" w:rsidR="009542E8" w:rsidRPr="009542E8" w:rsidRDefault="009542E8" w:rsidP="009542E8">
      <w:pPr>
        <w:numPr>
          <w:ilvl w:val="0"/>
          <w:numId w:val="12"/>
        </w:numPr>
        <w:shd w:val="clear" w:color="auto" w:fill="FFFFFF"/>
        <w:spacing w:after="0" w:line="240" w:lineRule="auto"/>
        <w:textAlignment w:val="baseline"/>
        <w:rPr>
          <w:rFonts w:eastAsia="Times New Roman" w:cstheme="minorHAnsi"/>
          <w:color w:val="000000"/>
          <w:kern w:val="0"/>
          <w:sz w:val="24"/>
          <w:szCs w:val="24"/>
          <w14:ligatures w14:val="none"/>
        </w:rPr>
      </w:pPr>
      <w:r w:rsidRPr="009542E8">
        <w:rPr>
          <w:rFonts w:eastAsia="Times New Roman" w:cstheme="minorHAnsi"/>
          <w:color w:val="000000"/>
          <w:kern w:val="0"/>
          <w:sz w:val="24"/>
          <w:szCs w:val="24"/>
          <w14:ligatures w14:val="none"/>
        </w:rPr>
        <w:t>Antihypertensive Activity: Grape seed monomers reduce ROS by inhibiting ROS producing Enzymes such as NADPH and Xanthine Oxidases. Reduction of ROS enhances the Production of Nitric Oxide (NO), an important factor for improving health of vascular endothelium tissues through L-arginine-NO pathway.</w:t>
      </w:r>
    </w:p>
    <w:p w14:paraId="3E233B73" w14:textId="77777777" w:rsidR="009542E8" w:rsidRDefault="009542E8">
      <w:pPr>
        <w:rPr>
          <w:rFonts w:cstheme="minorHAnsi"/>
          <w:sz w:val="24"/>
          <w:szCs w:val="24"/>
        </w:rPr>
      </w:pPr>
    </w:p>
    <w:p w14:paraId="7FEF74FB" w14:textId="751A3E01" w:rsidR="00890303" w:rsidRPr="00890303" w:rsidRDefault="00890303" w:rsidP="00890303">
      <w:pPr>
        <w:shd w:val="clear" w:color="auto" w:fill="FFFFFF"/>
        <w:spacing w:after="0" w:line="240" w:lineRule="auto"/>
        <w:rPr>
          <w:rFonts w:eastAsia="Times New Roman" w:cstheme="minorHAnsi"/>
          <w:color w:val="001D35"/>
          <w:kern w:val="0"/>
          <w:sz w:val="24"/>
          <w:szCs w:val="24"/>
          <w14:ligatures w14:val="none"/>
        </w:rPr>
      </w:pPr>
      <w:r w:rsidRPr="00890303">
        <w:rPr>
          <w:rFonts w:eastAsia="Times New Roman" w:cstheme="minorHAnsi"/>
          <w:b/>
          <w:bCs/>
          <w:color w:val="001D35"/>
          <w:kern w:val="0"/>
          <w:sz w:val="24"/>
          <w:szCs w:val="24"/>
          <w14:ligatures w14:val="none"/>
        </w:rPr>
        <w:t>Thymoquinone (TQ)</w:t>
      </w:r>
      <w:r>
        <w:rPr>
          <w:rFonts w:eastAsia="Times New Roman" w:cstheme="minorHAnsi"/>
          <w:b/>
          <w:bCs/>
          <w:color w:val="001D35"/>
          <w:kern w:val="0"/>
          <w:sz w:val="24"/>
          <w:szCs w:val="24"/>
          <w14:ligatures w14:val="none"/>
        </w:rPr>
        <w:t xml:space="preserve"> </w:t>
      </w:r>
      <w:r w:rsidRPr="00890303">
        <w:rPr>
          <w:rFonts w:eastAsia="Times New Roman" w:cstheme="minorHAnsi"/>
          <w:color w:val="001D35"/>
          <w:kern w:val="0"/>
          <w:sz w:val="24"/>
          <w:szCs w:val="24"/>
          <w14:ligatures w14:val="none"/>
        </w:rPr>
        <w:t>from</w:t>
      </w:r>
      <w:r>
        <w:rPr>
          <w:rFonts w:eastAsia="Times New Roman" w:cstheme="minorHAnsi"/>
          <w:b/>
          <w:bCs/>
          <w:color w:val="001D35"/>
          <w:kern w:val="0"/>
          <w:sz w:val="24"/>
          <w:szCs w:val="24"/>
          <w14:ligatures w14:val="none"/>
        </w:rPr>
        <w:t xml:space="preserve"> black seed oil</w:t>
      </w:r>
      <w:r w:rsidRPr="00890303">
        <w:rPr>
          <w:rFonts w:eastAsia="Times New Roman" w:cstheme="minorHAnsi"/>
          <w:color w:val="001D35"/>
          <w:kern w:val="0"/>
          <w:sz w:val="24"/>
          <w:szCs w:val="24"/>
          <w14:ligatures w14:val="none"/>
        </w:rPr>
        <w:t> shows significant potential for improving cognitive function due to its neuroprotective properties, which include strong antioxidant and anti-inflammatory effects, as well as its role in inhibiting (</w:t>
      </w:r>
      <w:proofErr w:type="spellStart"/>
      <w:r w:rsidRPr="00890303">
        <w:rPr>
          <w:rFonts w:eastAsia="Times New Roman" w:cstheme="minorHAnsi"/>
          <w:color w:val="001D35"/>
          <w:kern w:val="0"/>
          <w:sz w:val="24"/>
          <w:szCs w:val="24"/>
          <w14:ligatures w14:val="none"/>
        </w:rPr>
        <w:t>AChE</w:t>
      </w:r>
      <w:proofErr w:type="spellEnd"/>
      <w:r w:rsidRPr="00890303">
        <w:rPr>
          <w:rFonts w:eastAsia="Times New Roman" w:cstheme="minorHAnsi"/>
          <w:color w:val="001D35"/>
          <w:kern w:val="0"/>
          <w:sz w:val="24"/>
          <w:szCs w:val="24"/>
          <w14:ligatures w14:val="none"/>
        </w:rPr>
        <w:t>) and preventing neurodegeneration. Studies in animal models of </w:t>
      </w:r>
      <w:r>
        <w:rPr>
          <w:rFonts w:eastAsia="Times New Roman" w:cstheme="minorHAnsi"/>
          <w:color w:val="001D35"/>
          <w:kern w:val="0"/>
          <w:sz w:val="24"/>
          <w:szCs w:val="24"/>
          <w14:ligatures w14:val="none"/>
        </w:rPr>
        <w:t>Alzheimer’s disease</w:t>
      </w:r>
      <w:r w:rsidRPr="00890303">
        <w:rPr>
          <w:rFonts w:eastAsia="Times New Roman" w:cstheme="minorHAnsi"/>
          <w:color w:val="001D35"/>
          <w:kern w:val="0"/>
          <w:sz w:val="24"/>
          <w:szCs w:val="24"/>
          <w14:ligatures w14:val="none"/>
        </w:rPr>
        <w:t> and other neurological conditions show that TQ can reduce </w:t>
      </w:r>
      <w:r>
        <w:rPr>
          <w:rFonts w:eastAsia="Times New Roman" w:cstheme="minorHAnsi"/>
          <w:color w:val="001D35"/>
          <w:kern w:val="0"/>
          <w:sz w:val="24"/>
          <w:szCs w:val="24"/>
          <w14:ligatures w14:val="none"/>
        </w:rPr>
        <w:t>oxidative stress,</w:t>
      </w:r>
      <w:r w:rsidRPr="00890303">
        <w:rPr>
          <w:rFonts w:eastAsia="Times New Roman" w:cstheme="minorHAnsi"/>
          <w:color w:val="001D35"/>
          <w:kern w:val="0"/>
          <w:sz w:val="24"/>
          <w:szCs w:val="24"/>
          <w14:ligatures w14:val="none"/>
        </w:rPr>
        <w:t> lessen </w:t>
      </w:r>
      <w:r>
        <w:rPr>
          <w:rFonts w:eastAsia="Times New Roman" w:cstheme="minorHAnsi"/>
          <w:color w:val="001D35"/>
          <w:kern w:val="0"/>
          <w:sz w:val="24"/>
          <w:szCs w:val="24"/>
          <w14:ligatures w14:val="none"/>
        </w:rPr>
        <w:t>neuroinflammation</w:t>
      </w:r>
      <w:r w:rsidRPr="00890303">
        <w:rPr>
          <w:rFonts w:eastAsia="Times New Roman" w:cstheme="minorHAnsi"/>
          <w:color w:val="001D35"/>
          <w:kern w:val="0"/>
          <w:sz w:val="24"/>
          <w:szCs w:val="24"/>
          <w14:ligatures w14:val="none"/>
        </w:rPr>
        <w:t>, preserve </w:t>
      </w:r>
      <w:r>
        <w:rPr>
          <w:rFonts w:eastAsia="Times New Roman" w:cstheme="minorHAnsi"/>
          <w:color w:val="001D35"/>
          <w:kern w:val="0"/>
          <w:sz w:val="24"/>
          <w:szCs w:val="24"/>
          <w14:ligatures w14:val="none"/>
        </w:rPr>
        <w:t>hippocampal</w:t>
      </w:r>
      <w:r w:rsidRPr="00890303">
        <w:rPr>
          <w:rFonts w:eastAsia="Times New Roman" w:cstheme="minorHAnsi"/>
          <w:color w:val="001D35"/>
          <w:kern w:val="0"/>
          <w:sz w:val="24"/>
          <w:szCs w:val="24"/>
          <w14:ligatures w14:val="none"/>
        </w:rPr>
        <w:t xml:space="preserve"> </w:t>
      </w:r>
      <w:r w:rsidRPr="00890303">
        <w:rPr>
          <w:rFonts w:eastAsia="Times New Roman" w:cstheme="minorHAnsi"/>
          <w:color w:val="001D35"/>
          <w:kern w:val="0"/>
          <w:sz w:val="24"/>
          <w:szCs w:val="24"/>
          <w14:ligatures w14:val="none"/>
        </w:rPr>
        <w:t>function, and increase levels of the neurotransmitter </w:t>
      </w:r>
      <w:r>
        <w:rPr>
          <w:rFonts w:eastAsia="Times New Roman" w:cstheme="minorHAnsi"/>
          <w:color w:val="001D35"/>
          <w:kern w:val="0"/>
          <w:sz w:val="24"/>
          <w:szCs w:val="24"/>
          <w14:ligatures w14:val="none"/>
        </w:rPr>
        <w:t>acetylcholine</w:t>
      </w:r>
      <w:r w:rsidRPr="00890303">
        <w:rPr>
          <w:rFonts w:eastAsia="Times New Roman" w:cstheme="minorHAnsi"/>
          <w:color w:val="001D35"/>
          <w:kern w:val="0"/>
          <w:sz w:val="24"/>
          <w:szCs w:val="24"/>
          <w14:ligatures w14:val="none"/>
        </w:rPr>
        <w:t>, all of which contribute to memory and cognitive improvements. </w:t>
      </w:r>
    </w:p>
    <w:p w14:paraId="7BB1F384" w14:textId="77777777" w:rsidR="00890303" w:rsidRPr="00890303" w:rsidRDefault="00890303" w:rsidP="00890303">
      <w:pPr>
        <w:shd w:val="clear" w:color="auto" w:fill="FFFFFF"/>
        <w:spacing w:after="120" w:line="360" w:lineRule="atLeast"/>
        <w:ind w:left="720"/>
        <w:rPr>
          <w:rFonts w:eastAsia="Times New Roman" w:cstheme="minorHAnsi"/>
          <w:spacing w:val="2"/>
          <w:kern w:val="0"/>
          <w:sz w:val="24"/>
          <w:szCs w:val="24"/>
          <w14:ligatures w14:val="none"/>
        </w:rPr>
      </w:pPr>
      <w:r w:rsidRPr="00890303">
        <w:rPr>
          <w:rFonts w:eastAsia="Times New Roman" w:cstheme="minorHAnsi"/>
          <w:color w:val="001D35"/>
          <w:spacing w:val="2"/>
          <w:kern w:val="0"/>
          <w:sz w:val="24"/>
          <w:szCs w:val="24"/>
          <w14:ligatures w14:val="none"/>
        </w:rPr>
        <w:t>TQ scavenges free radicals, protecting brain cells from oxidative damage, which is a hallmark of cognitive decline and neurodegenerative diseases like Alzheimer's. </w:t>
      </w:r>
    </w:p>
    <w:p w14:paraId="3D16B18C" w14:textId="77777777" w:rsidR="00890303" w:rsidRPr="00890303" w:rsidRDefault="00890303" w:rsidP="00890303">
      <w:pPr>
        <w:shd w:val="clear" w:color="auto" w:fill="FFFFFF"/>
        <w:spacing w:after="120" w:line="360" w:lineRule="atLeast"/>
        <w:ind w:left="720"/>
        <w:rPr>
          <w:rFonts w:eastAsia="Times New Roman" w:cstheme="minorHAnsi"/>
          <w:spacing w:val="2"/>
          <w:kern w:val="0"/>
          <w:sz w:val="24"/>
          <w:szCs w:val="24"/>
          <w14:ligatures w14:val="none"/>
        </w:rPr>
      </w:pPr>
      <w:r w:rsidRPr="00890303">
        <w:rPr>
          <w:rFonts w:eastAsia="Times New Roman" w:cstheme="minorHAnsi"/>
          <w:color w:val="001D35"/>
          <w:spacing w:val="2"/>
          <w:kern w:val="0"/>
          <w:sz w:val="24"/>
          <w:szCs w:val="24"/>
          <w14:ligatures w14:val="none"/>
        </w:rPr>
        <w:t>TQ reduces neuroinflammation by inhibiting inflammatory mediators and suppressing glial activation, which helps protect against neuronal damage. </w:t>
      </w:r>
    </w:p>
    <w:p w14:paraId="71F12097" w14:textId="4ADA7F65" w:rsidR="00890303" w:rsidRPr="00890303" w:rsidRDefault="00890303" w:rsidP="00890303">
      <w:pPr>
        <w:shd w:val="clear" w:color="auto" w:fill="FFFFFF"/>
        <w:spacing w:after="120" w:line="360" w:lineRule="atLeast"/>
        <w:ind w:left="720"/>
        <w:rPr>
          <w:rFonts w:eastAsia="Times New Roman" w:cstheme="minorHAnsi"/>
          <w:spacing w:val="2"/>
          <w:kern w:val="0"/>
          <w:sz w:val="24"/>
          <w:szCs w:val="24"/>
          <w14:ligatures w14:val="none"/>
        </w:rPr>
      </w:pPr>
      <w:r w:rsidRPr="00890303">
        <w:rPr>
          <w:rFonts w:eastAsia="Times New Roman" w:cstheme="minorHAnsi"/>
          <w:color w:val="001D35"/>
          <w:spacing w:val="2"/>
          <w:kern w:val="0"/>
          <w:sz w:val="24"/>
          <w:szCs w:val="24"/>
          <w14:ligatures w14:val="none"/>
        </w:rPr>
        <w:t xml:space="preserve">By blocking the activity of the </w:t>
      </w:r>
      <w:proofErr w:type="gramStart"/>
      <w:r w:rsidRPr="00890303">
        <w:rPr>
          <w:rFonts w:eastAsia="Times New Roman" w:cstheme="minorHAnsi"/>
          <w:color w:val="001D35"/>
          <w:spacing w:val="2"/>
          <w:kern w:val="0"/>
          <w:sz w:val="24"/>
          <w:szCs w:val="24"/>
          <w14:ligatures w14:val="none"/>
        </w:rPr>
        <w:t>enzyme </w:t>
      </w:r>
      <w:r w:rsidRPr="00890303">
        <w:rPr>
          <w:rFonts w:eastAsia="Times New Roman" w:cstheme="minorHAnsi"/>
          <w:color w:val="001D35"/>
          <w:spacing w:val="2"/>
          <w:kern w:val="0"/>
          <w:sz w:val="24"/>
          <w:szCs w:val="24"/>
          <w14:ligatures w14:val="none"/>
        </w:rPr>
        <w:t xml:space="preserve"> </w:t>
      </w:r>
      <w:r w:rsidRPr="00890303">
        <w:rPr>
          <w:rFonts w:eastAsia="Times New Roman" w:cstheme="minorHAnsi"/>
          <w:color w:val="001D35"/>
          <w:spacing w:val="2"/>
          <w:kern w:val="0"/>
          <w:sz w:val="24"/>
          <w:szCs w:val="24"/>
          <w14:ligatures w14:val="none"/>
        </w:rPr>
        <w:t>(</w:t>
      </w:r>
      <w:proofErr w:type="spellStart"/>
      <w:proofErr w:type="gramEnd"/>
      <w:r w:rsidRPr="00890303">
        <w:rPr>
          <w:rFonts w:eastAsia="Times New Roman" w:cstheme="minorHAnsi"/>
          <w:color w:val="001D35"/>
          <w:spacing w:val="2"/>
          <w:kern w:val="0"/>
          <w:sz w:val="24"/>
          <w:szCs w:val="24"/>
          <w14:ligatures w14:val="none"/>
        </w:rPr>
        <w:t>AChE</w:t>
      </w:r>
      <w:proofErr w:type="spellEnd"/>
      <w:r w:rsidRPr="00890303">
        <w:rPr>
          <w:rFonts w:eastAsia="Times New Roman" w:cstheme="minorHAnsi"/>
          <w:color w:val="001D35"/>
          <w:spacing w:val="2"/>
          <w:kern w:val="0"/>
          <w:sz w:val="24"/>
          <w:szCs w:val="24"/>
          <w14:ligatures w14:val="none"/>
        </w:rPr>
        <w:t>), TQ increases the availability of </w:t>
      </w:r>
      <w:r>
        <w:rPr>
          <w:rFonts w:eastAsia="Times New Roman" w:cstheme="minorHAnsi"/>
          <w:color w:val="001D35"/>
          <w:spacing w:val="2"/>
          <w:kern w:val="0"/>
          <w:sz w:val="24"/>
          <w:szCs w:val="24"/>
          <w14:ligatures w14:val="none"/>
        </w:rPr>
        <w:t>acetylcholine</w:t>
      </w:r>
      <w:r w:rsidRPr="00890303">
        <w:rPr>
          <w:rFonts w:eastAsia="Times New Roman" w:cstheme="minorHAnsi"/>
          <w:color w:val="001D35"/>
          <w:spacing w:val="2"/>
          <w:kern w:val="0"/>
          <w:sz w:val="24"/>
          <w:szCs w:val="24"/>
          <w14:ligatures w14:val="none"/>
        </w:rPr>
        <w:t> (</w:t>
      </w:r>
      <w:proofErr w:type="spellStart"/>
      <w:r w:rsidRPr="00890303">
        <w:rPr>
          <w:rFonts w:eastAsia="Times New Roman" w:cstheme="minorHAnsi"/>
          <w:color w:val="001D35"/>
          <w:spacing w:val="2"/>
          <w:kern w:val="0"/>
          <w:sz w:val="24"/>
          <w:szCs w:val="24"/>
          <w14:ligatures w14:val="none"/>
        </w:rPr>
        <w:t>ACh</w:t>
      </w:r>
      <w:proofErr w:type="spellEnd"/>
      <w:r w:rsidRPr="00890303">
        <w:rPr>
          <w:rFonts w:eastAsia="Times New Roman" w:cstheme="minorHAnsi"/>
          <w:color w:val="001D35"/>
          <w:spacing w:val="2"/>
          <w:kern w:val="0"/>
          <w:sz w:val="24"/>
          <w:szCs w:val="24"/>
          <w14:ligatures w14:val="none"/>
        </w:rPr>
        <w:t>), a key neurotransmitter essential for memory formation and learning. </w:t>
      </w:r>
    </w:p>
    <w:p w14:paraId="57C32E23" w14:textId="05B383C8" w:rsidR="00890303" w:rsidRPr="00890303" w:rsidRDefault="00890303" w:rsidP="00890303">
      <w:pPr>
        <w:shd w:val="clear" w:color="auto" w:fill="FFFFFF"/>
        <w:spacing w:after="0" w:line="360" w:lineRule="atLeast"/>
        <w:ind w:left="720"/>
        <w:rPr>
          <w:rFonts w:eastAsia="Times New Roman" w:cstheme="minorHAnsi"/>
          <w:spacing w:val="2"/>
          <w:kern w:val="0"/>
          <w:sz w:val="24"/>
          <w:szCs w:val="24"/>
          <w14:ligatures w14:val="none"/>
        </w:rPr>
      </w:pPr>
      <w:r w:rsidRPr="00890303">
        <w:rPr>
          <w:rFonts w:eastAsia="Times New Roman" w:cstheme="minorHAnsi"/>
          <w:color w:val="001D35"/>
          <w:spacing w:val="2"/>
          <w:kern w:val="0"/>
          <w:sz w:val="24"/>
          <w:szCs w:val="24"/>
          <w14:ligatures w14:val="none"/>
        </w:rPr>
        <w:lastRenderedPageBreak/>
        <w:t>TQ protects brain cells from various toxins and insults, including beta-amyloid peptides associated with Alzheimer's disease, preventing neuronal death and supporting </w:t>
      </w:r>
      <w:r>
        <w:rPr>
          <w:rFonts w:eastAsia="Times New Roman" w:cstheme="minorHAnsi"/>
          <w:color w:val="001D35"/>
          <w:spacing w:val="2"/>
          <w:kern w:val="0"/>
          <w:sz w:val="24"/>
          <w:szCs w:val="24"/>
          <w14:ligatures w14:val="none"/>
        </w:rPr>
        <w:t>synaptic plasticity</w:t>
      </w:r>
      <w:r w:rsidRPr="00890303">
        <w:rPr>
          <w:rFonts w:eastAsia="Times New Roman" w:cstheme="minorHAnsi"/>
          <w:color w:val="001D35"/>
          <w:spacing w:val="2"/>
          <w:kern w:val="0"/>
          <w:sz w:val="24"/>
          <w:szCs w:val="24"/>
          <w14:ligatures w14:val="none"/>
        </w:rPr>
        <w:t>. </w:t>
      </w:r>
    </w:p>
    <w:p w14:paraId="7CC12A5B" w14:textId="263DE335" w:rsidR="00890303" w:rsidRPr="00890303" w:rsidRDefault="00890303" w:rsidP="00890303">
      <w:pPr>
        <w:shd w:val="clear" w:color="auto" w:fill="FFFFFF"/>
        <w:spacing w:after="120" w:line="360" w:lineRule="atLeast"/>
        <w:ind w:left="720"/>
        <w:rPr>
          <w:rFonts w:eastAsia="Times New Roman" w:cstheme="minorHAnsi"/>
          <w:spacing w:val="2"/>
          <w:kern w:val="0"/>
          <w:sz w:val="24"/>
          <w:szCs w:val="24"/>
          <w14:ligatures w14:val="none"/>
        </w:rPr>
      </w:pPr>
      <w:r w:rsidRPr="00890303">
        <w:rPr>
          <w:rFonts w:eastAsia="Times New Roman" w:cstheme="minorHAnsi"/>
          <w:color w:val="001D35"/>
          <w:spacing w:val="2"/>
          <w:kern w:val="0"/>
          <w:sz w:val="24"/>
          <w:szCs w:val="24"/>
          <w14:ligatures w14:val="none"/>
        </w:rPr>
        <w:t>TQ has been shown to improve memory performance and cognitive function in animal models of Alzheimer's disease, </w:t>
      </w:r>
      <w:r>
        <w:rPr>
          <w:rFonts w:eastAsia="Times New Roman" w:cstheme="minorHAnsi"/>
          <w:color w:val="001D35"/>
          <w:spacing w:val="2"/>
          <w:kern w:val="0"/>
          <w:sz w:val="24"/>
          <w:szCs w:val="24"/>
          <w14:ligatures w14:val="none"/>
        </w:rPr>
        <w:t>hepatic encephalopathy</w:t>
      </w:r>
      <w:r w:rsidRPr="00890303">
        <w:rPr>
          <w:rFonts w:eastAsia="Times New Roman" w:cstheme="minorHAnsi"/>
          <w:color w:val="001D35"/>
          <w:spacing w:val="2"/>
          <w:kern w:val="0"/>
          <w:sz w:val="24"/>
          <w:szCs w:val="24"/>
          <w14:ligatures w14:val="none"/>
        </w:rPr>
        <w:t>, and other conditions involving cognitive impairment. </w:t>
      </w:r>
    </w:p>
    <w:p w14:paraId="5204BA45" w14:textId="70180932" w:rsidR="00890303" w:rsidRPr="00890303" w:rsidRDefault="00890303" w:rsidP="00890303">
      <w:pPr>
        <w:shd w:val="clear" w:color="auto" w:fill="FFFFFF"/>
        <w:spacing w:after="120" w:line="360" w:lineRule="atLeast"/>
        <w:ind w:left="720"/>
        <w:rPr>
          <w:rFonts w:eastAsia="Times New Roman" w:cstheme="minorHAnsi"/>
          <w:spacing w:val="2"/>
          <w:kern w:val="0"/>
          <w:sz w:val="24"/>
          <w:szCs w:val="24"/>
          <w14:ligatures w14:val="none"/>
        </w:rPr>
      </w:pPr>
      <w:r w:rsidRPr="00890303">
        <w:rPr>
          <w:rFonts w:eastAsia="Times New Roman" w:cstheme="minorHAnsi"/>
          <w:color w:val="001D35"/>
          <w:spacing w:val="2"/>
          <w:kern w:val="0"/>
          <w:sz w:val="24"/>
          <w:szCs w:val="24"/>
          <w14:ligatures w14:val="none"/>
        </w:rPr>
        <w:t>TQ treatment has been linked to a reduction in markers of neuronal damage, such as </w:t>
      </w:r>
      <w:r>
        <w:rPr>
          <w:rFonts w:eastAsia="Times New Roman" w:cstheme="minorHAnsi"/>
          <w:color w:val="001D35"/>
          <w:spacing w:val="2"/>
          <w:kern w:val="0"/>
          <w:sz w:val="24"/>
          <w:szCs w:val="24"/>
          <w14:ligatures w14:val="none"/>
        </w:rPr>
        <w:t>Amyloid-beta</w:t>
      </w:r>
      <w:r w:rsidRPr="00890303">
        <w:rPr>
          <w:rFonts w:eastAsia="Times New Roman" w:cstheme="minorHAnsi"/>
          <w:color w:val="001D35"/>
          <w:spacing w:val="2"/>
          <w:kern w:val="0"/>
          <w:sz w:val="24"/>
          <w:szCs w:val="24"/>
          <w14:ligatures w14:val="none"/>
        </w:rPr>
        <w:t> accumulation and inflammation, and a preservation of </w:t>
      </w:r>
      <w:r>
        <w:rPr>
          <w:rFonts w:eastAsia="Times New Roman" w:cstheme="minorHAnsi"/>
          <w:color w:val="001D35"/>
          <w:spacing w:val="2"/>
          <w:kern w:val="0"/>
          <w:sz w:val="24"/>
          <w:szCs w:val="24"/>
          <w14:ligatures w14:val="none"/>
        </w:rPr>
        <w:t>hippocampal</w:t>
      </w:r>
      <w:r w:rsidRPr="00890303">
        <w:rPr>
          <w:rFonts w:eastAsia="Times New Roman" w:cstheme="minorHAnsi"/>
          <w:color w:val="001D35"/>
          <w:spacing w:val="2"/>
          <w:kern w:val="0"/>
          <w:sz w:val="24"/>
          <w:szCs w:val="24"/>
          <w14:ligatures w14:val="none"/>
        </w:rPr>
        <w:t xml:space="preserve"> </w:t>
      </w:r>
      <w:r w:rsidRPr="00890303">
        <w:rPr>
          <w:rFonts w:eastAsia="Times New Roman" w:cstheme="minorHAnsi"/>
          <w:color w:val="001D35"/>
          <w:spacing w:val="2"/>
          <w:kern w:val="0"/>
          <w:sz w:val="24"/>
          <w:szCs w:val="24"/>
          <w14:ligatures w14:val="none"/>
        </w:rPr>
        <w:t>structure. </w:t>
      </w:r>
    </w:p>
    <w:p w14:paraId="066A3DFD" w14:textId="77777777" w:rsidR="00890303" w:rsidRDefault="00890303" w:rsidP="00890303">
      <w:pPr>
        <w:shd w:val="clear" w:color="auto" w:fill="FFFFFF"/>
        <w:spacing w:after="0" w:line="360" w:lineRule="atLeast"/>
        <w:ind w:left="720"/>
        <w:rPr>
          <w:rFonts w:eastAsia="Times New Roman" w:cstheme="minorHAnsi"/>
          <w:color w:val="001D35"/>
          <w:spacing w:val="2"/>
          <w:kern w:val="0"/>
          <w:sz w:val="24"/>
          <w:szCs w:val="24"/>
          <w14:ligatures w14:val="none"/>
        </w:rPr>
      </w:pPr>
      <w:r w:rsidRPr="00890303">
        <w:rPr>
          <w:rFonts w:eastAsia="Times New Roman" w:cstheme="minorHAnsi"/>
          <w:color w:val="001D35"/>
          <w:spacing w:val="2"/>
          <w:kern w:val="0"/>
          <w:sz w:val="24"/>
          <w:szCs w:val="24"/>
          <w14:ligatures w14:val="none"/>
        </w:rPr>
        <w:t>Studies suggest TQ can prevent or ameliorate memory loss and other cognitive deficits induced by various toxins and conditions. </w:t>
      </w:r>
    </w:p>
    <w:p w14:paraId="28447FE9" w14:textId="77777777" w:rsidR="00103A05" w:rsidRDefault="00103A05" w:rsidP="00890303">
      <w:pPr>
        <w:shd w:val="clear" w:color="auto" w:fill="FFFFFF"/>
        <w:spacing w:after="0" w:line="360" w:lineRule="atLeast"/>
        <w:ind w:left="720"/>
        <w:rPr>
          <w:rFonts w:eastAsia="Times New Roman" w:cstheme="minorHAnsi"/>
          <w:color w:val="001D35"/>
          <w:spacing w:val="2"/>
          <w:kern w:val="0"/>
          <w:sz w:val="24"/>
          <w:szCs w:val="24"/>
          <w14:ligatures w14:val="none"/>
        </w:rPr>
      </w:pPr>
    </w:p>
    <w:p w14:paraId="01BAC1A1" w14:textId="41EE034E" w:rsidR="00103A05" w:rsidRPr="00890303" w:rsidRDefault="00103A05" w:rsidP="00890303">
      <w:pPr>
        <w:shd w:val="clear" w:color="auto" w:fill="FFFFFF"/>
        <w:spacing w:after="0" w:line="360" w:lineRule="atLeast"/>
        <w:ind w:left="720"/>
        <w:rPr>
          <w:rFonts w:eastAsia="Times New Roman" w:cstheme="minorHAnsi"/>
          <w:spacing w:val="2"/>
          <w:kern w:val="0"/>
          <w:sz w:val="24"/>
          <w:szCs w:val="24"/>
          <w14:ligatures w14:val="none"/>
        </w:rPr>
      </w:pPr>
      <w:proofErr w:type="spellStart"/>
      <w:r w:rsidRPr="00103A05">
        <w:rPr>
          <w:rFonts w:cstheme="minorHAnsi"/>
          <w:b/>
          <w:bCs/>
          <w:sz w:val="24"/>
          <w:szCs w:val="24"/>
          <w:shd w:val="clear" w:color="auto" w:fill="FFFFFF"/>
        </w:rPr>
        <w:t>P</w:t>
      </w:r>
      <w:r w:rsidRPr="00103A05">
        <w:rPr>
          <w:rFonts w:cstheme="minorHAnsi"/>
          <w:b/>
          <w:bCs/>
          <w:sz w:val="24"/>
          <w:szCs w:val="24"/>
          <w:shd w:val="clear" w:color="auto" w:fill="FFFFFF"/>
        </w:rPr>
        <w:t>almitoylethanolamide</w:t>
      </w:r>
      <w:proofErr w:type="spellEnd"/>
      <w:r w:rsidRPr="00103A05">
        <w:rPr>
          <w:rFonts w:cstheme="minorHAnsi"/>
          <w:b/>
          <w:bCs/>
          <w:sz w:val="24"/>
          <w:szCs w:val="24"/>
          <w:shd w:val="clear" w:color="auto" w:fill="FFFFFF"/>
        </w:rPr>
        <w:t xml:space="preserve"> (PEA)</w:t>
      </w:r>
      <w:r w:rsidRPr="00103A05">
        <w:rPr>
          <w:rFonts w:cstheme="minorHAnsi"/>
          <w:b/>
          <w:bCs/>
          <w:sz w:val="24"/>
          <w:szCs w:val="24"/>
          <w:shd w:val="clear" w:color="auto" w:fill="FFFFFF"/>
        </w:rPr>
        <w:t>:</w:t>
      </w:r>
      <w:r>
        <w:rPr>
          <w:rFonts w:cstheme="minorHAnsi"/>
          <w:sz w:val="24"/>
          <w:szCs w:val="24"/>
          <w:shd w:val="clear" w:color="auto" w:fill="FFFFFF"/>
        </w:rPr>
        <w:t xml:space="preserve"> </w:t>
      </w:r>
      <w:r w:rsidRPr="00103A05">
        <w:rPr>
          <w:rFonts w:cstheme="minorHAnsi"/>
          <w:sz w:val="24"/>
          <w:szCs w:val="24"/>
          <w:shd w:val="clear" w:color="auto" w:fill="FFFFFF"/>
        </w:rPr>
        <w:t xml:space="preserve">Cognitive decline is believed to be associated with neurodegenerative processes involving excitotoxicity, oxidative damage, inflammation, and microvascular and blood-brain barrier dysfunction. Interestingly, research evidence suggests upregulated synthesis of lipid signaling molecules as an endogenous attempt to contrast such neurodegeneration-related pathophysiological mechanisms, restore homeostatic balance, and prevent further damage. Among these naturally occurring molecules, </w:t>
      </w:r>
      <w:proofErr w:type="spellStart"/>
      <w:r w:rsidRPr="00103A05">
        <w:rPr>
          <w:rFonts w:cstheme="minorHAnsi"/>
          <w:sz w:val="24"/>
          <w:szCs w:val="24"/>
          <w:shd w:val="clear" w:color="auto" w:fill="FFFFFF"/>
        </w:rPr>
        <w:t>palmitoylethanolamide</w:t>
      </w:r>
      <w:proofErr w:type="spellEnd"/>
      <w:r w:rsidRPr="00103A05">
        <w:rPr>
          <w:rFonts w:cstheme="minorHAnsi"/>
          <w:sz w:val="24"/>
          <w:szCs w:val="24"/>
          <w:shd w:val="clear" w:color="auto" w:fill="FFFFFF"/>
        </w:rPr>
        <w:t xml:space="preserve"> (PEA) has been independently associated with neuroprotective and anti-inflammatory properties, raising interest into the possibility that its supplementation might represent a novel therapeutic approach in supporting the body-own regulation of many pathophysiological processes potentially contributing to neurocognitive disorders. Here, we systematically reviewed all human and animal studies examining PEA and its biobehavioral correlates in neurocognitive disorders, finding 33 eligible outputs. Studies conducted in animal models of neurodegeneration indicate that PEA improves neurobehavioral functions, including memory and learning, by reducing oxidative stress and pro-inflammatory and astrocyte marker expression as well as rebalancing glutamatergic transmission. PEA was found to promote neurogenesis, especially in the hippocampus, neuronal viability and survival, and microtubule-associated protein 2 and brain-derived neurotrophic factor expression, while inhibiting mast cell infiltration/degranulation and astrocyte activation. It also demonstrated to mitigate β</w:t>
      </w:r>
      <w:r w:rsidRPr="00103A05">
        <w:rPr>
          <w:rFonts w:cstheme="minorHAnsi"/>
          <w:i/>
          <w:iCs/>
          <w:sz w:val="24"/>
          <w:szCs w:val="24"/>
          <w:bdr w:val="none" w:sz="0" w:space="0" w:color="auto" w:frame="1"/>
          <w:shd w:val="clear" w:color="auto" w:fill="FFFFFF"/>
        </w:rPr>
        <w:t>-</w:t>
      </w:r>
      <w:r w:rsidRPr="00103A05">
        <w:rPr>
          <w:rFonts w:cstheme="minorHAnsi"/>
          <w:sz w:val="24"/>
          <w:szCs w:val="24"/>
          <w:shd w:val="clear" w:color="auto" w:fill="FFFFFF"/>
        </w:rPr>
        <w:t xml:space="preserve">amyloid-induced astrogliosis, by modulating lipid peroxidation, protein </w:t>
      </w:r>
      <w:proofErr w:type="spellStart"/>
      <w:r w:rsidRPr="00103A05">
        <w:rPr>
          <w:rFonts w:cstheme="minorHAnsi"/>
          <w:sz w:val="24"/>
          <w:szCs w:val="24"/>
          <w:shd w:val="clear" w:color="auto" w:fill="FFFFFF"/>
        </w:rPr>
        <w:t>nytrosylation</w:t>
      </w:r>
      <w:proofErr w:type="spellEnd"/>
      <w:r w:rsidRPr="00103A05">
        <w:rPr>
          <w:rFonts w:cstheme="minorHAnsi"/>
          <w:sz w:val="24"/>
          <w:szCs w:val="24"/>
          <w:shd w:val="clear" w:color="auto" w:fill="FFFFFF"/>
        </w:rPr>
        <w:t xml:space="preserve">, inducible nitric oxide synthase induction, reactive oxygen species production, caspase3 activation, </w:t>
      </w:r>
      <w:proofErr w:type="spellStart"/>
      <w:r w:rsidRPr="00103A05">
        <w:rPr>
          <w:rFonts w:cstheme="minorHAnsi"/>
          <w:sz w:val="24"/>
          <w:szCs w:val="24"/>
          <w:shd w:val="clear" w:color="auto" w:fill="FFFFFF"/>
        </w:rPr>
        <w:t>amyloidogenesis</w:t>
      </w:r>
      <w:proofErr w:type="spellEnd"/>
      <w:r w:rsidRPr="00103A05">
        <w:rPr>
          <w:rFonts w:cstheme="minorHAnsi"/>
          <w:sz w:val="24"/>
          <w:szCs w:val="24"/>
          <w:shd w:val="clear" w:color="auto" w:fill="FFFFFF"/>
        </w:rPr>
        <w:t xml:space="preserve">, and tau protein hyperphosphorylation. Such effects were related to PEA ability to indirectly activate </w:t>
      </w:r>
      <w:r w:rsidRPr="00103A05">
        <w:rPr>
          <w:rFonts w:cstheme="minorHAnsi"/>
          <w:sz w:val="24"/>
          <w:szCs w:val="24"/>
          <w:shd w:val="clear" w:color="auto" w:fill="FFFFFF"/>
        </w:rPr>
        <w:lastRenderedPageBreak/>
        <w:t>cannabinoid receptors and modulate proliferator-activated receptor-α (PPAR-α) activity. Importantly, preclinical evidence suggests that PEA may act as a disease-modifying-drug in the early stage of a neurocognitive disorder, while its protective effect in the frank disorder may be less relevant. Limited human research suggests that PEA supplementation reduces fatigue and cognitive impairment, the latter being also meta-analytically confirmed in 3 eligible studies. PEA improved global executive function, working memory, language deficits, daily living activities, possibly by modulating cortical oscillatory activity and GABAergic transmission. There is currently no established cure for neurocognitive disorders but only treatments to temporarily reduce symptom severity. In the search for compounds able to protect against the pathophysiological mechanisms leading to neurocognitive disorders, PEA may represent a valid therapeutic option to prevent neurodegeneration and support endogenous repair processes against disease progression.</w:t>
      </w:r>
    </w:p>
    <w:sectPr w:rsidR="00103A05" w:rsidRPr="008903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93644"/>
    <w:multiLevelType w:val="multilevel"/>
    <w:tmpl w:val="14729D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C719A6"/>
    <w:multiLevelType w:val="multilevel"/>
    <w:tmpl w:val="7C2C2E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84454C0"/>
    <w:multiLevelType w:val="multilevel"/>
    <w:tmpl w:val="01580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426219D"/>
    <w:multiLevelType w:val="multilevel"/>
    <w:tmpl w:val="94E0CF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8F7617F"/>
    <w:multiLevelType w:val="multilevel"/>
    <w:tmpl w:val="1D62B1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6C3E5D"/>
    <w:multiLevelType w:val="multilevel"/>
    <w:tmpl w:val="863649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E47101A"/>
    <w:multiLevelType w:val="multilevel"/>
    <w:tmpl w:val="C5C6F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C6766D"/>
    <w:multiLevelType w:val="multilevel"/>
    <w:tmpl w:val="E45AD7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4D79D6"/>
    <w:multiLevelType w:val="multilevel"/>
    <w:tmpl w:val="CB0E8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33916DE"/>
    <w:multiLevelType w:val="multilevel"/>
    <w:tmpl w:val="E27C49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6B67011"/>
    <w:multiLevelType w:val="multilevel"/>
    <w:tmpl w:val="17ECFA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43344C2"/>
    <w:multiLevelType w:val="multilevel"/>
    <w:tmpl w:val="F4028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82518C0"/>
    <w:multiLevelType w:val="multilevel"/>
    <w:tmpl w:val="5F64D3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200465B"/>
    <w:multiLevelType w:val="multilevel"/>
    <w:tmpl w:val="B00A0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6F307CB"/>
    <w:multiLevelType w:val="multilevel"/>
    <w:tmpl w:val="62023C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40155745">
    <w:abstractNumId w:val="7"/>
  </w:num>
  <w:num w:numId="2" w16cid:durableId="568077080">
    <w:abstractNumId w:val="4"/>
  </w:num>
  <w:num w:numId="3" w16cid:durableId="696272331">
    <w:abstractNumId w:val="5"/>
  </w:num>
  <w:num w:numId="4" w16cid:durableId="977227384">
    <w:abstractNumId w:val="9"/>
  </w:num>
  <w:num w:numId="5" w16cid:durableId="1677607987">
    <w:abstractNumId w:val="3"/>
  </w:num>
  <w:num w:numId="6" w16cid:durableId="1585994101">
    <w:abstractNumId w:val="12"/>
  </w:num>
  <w:num w:numId="7" w16cid:durableId="173497426">
    <w:abstractNumId w:val="10"/>
  </w:num>
  <w:num w:numId="8" w16cid:durableId="217399019">
    <w:abstractNumId w:val="14"/>
  </w:num>
  <w:num w:numId="9" w16cid:durableId="901871125">
    <w:abstractNumId w:val="1"/>
  </w:num>
  <w:num w:numId="10" w16cid:durableId="1552763735">
    <w:abstractNumId w:val="6"/>
  </w:num>
  <w:num w:numId="11" w16cid:durableId="1364474488">
    <w:abstractNumId w:val="0"/>
  </w:num>
  <w:num w:numId="12" w16cid:durableId="375590101">
    <w:abstractNumId w:val="2"/>
  </w:num>
  <w:num w:numId="13" w16cid:durableId="1132484046">
    <w:abstractNumId w:val="11"/>
  </w:num>
  <w:num w:numId="14" w16cid:durableId="1772160908">
    <w:abstractNumId w:val="13"/>
  </w:num>
  <w:num w:numId="15" w16cid:durableId="125516288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414D"/>
    <w:rsid w:val="00097662"/>
    <w:rsid w:val="00103A05"/>
    <w:rsid w:val="0022430F"/>
    <w:rsid w:val="00384C86"/>
    <w:rsid w:val="003D5A75"/>
    <w:rsid w:val="00545B28"/>
    <w:rsid w:val="005C4708"/>
    <w:rsid w:val="005E38D2"/>
    <w:rsid w:val="0074414D"/>
    <w:rsid w:val="007C1B62"/>
    <w:rsid w:val="00814336"/>
    <w:rsid w:val="00890303"/>
    <w:rsid w:val="009542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3D813B"/>
  <w15:chartTrackingRefBased/>
  <w15:docId w15:val="{D8A5E5BB-8BD8-4FE4-8073-B8C7053C99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4414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4414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74414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4414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4414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4414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4414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4414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4414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414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4414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74414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4414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4414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4414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414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414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414D"/>
    <w:rPr>
      <w:rFonts w:eastAsiaTheme="majorEastAsia" w:cstheme="majorBidi"/>
      <w:color w:val="272727" w:themeColor="text1" w:themeTint="D8"/>
    </w:rPr>
  </w:style>
  <w:style w:type="paragraph" w:styleId="Title">
    <w:name w:val="Title"/>
    <w:basedOn w:val="Normal"/>
    <w:next w:val="Normal"/>
    <w:link w:val="TitleChar"/>
    <w:uiPriority w:val="10"/>
    <w:qFormat/>
    <w:rsid w:val="0074414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4414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414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4414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414D"/>
    <w:pPr>
      <w:spacing w:before="160"/>
      <w:jc w:val="center"/>
    </w:pPr>
    <w:rPr>
      <w:i/>
      <w:iCs/>
      <w:color w:val="404040" w:themeColor="text1" w:themeTint="BF"/>
    </w:rPr>
  </w:style>
  <w:style w:type="character" w:customStyle="1" w:styleId="QuoteChar">
    <w:name w:val="Quote Char"/>
    <w:basedOn w:val="DefaultParagraphFont"/>
    <w:link w:val="Quote"/>
    <w:uiPriority w:val="29"/>
    <w:rsid w:val="0074414D"/>
    <w:rPr>
      <w:i/>
      <w:iCs/>
      <w:color w:val="404040" w:themeColor="text1" w:themeTint="BF"/>
    </w:rPr>
  </w:style>
  <w:style w:type="paragraph" w:styleId="ListParagraph">
    <w:name w:val="List Paragraph"/>
    <w:basedOn w:val="Normal"/>
    <w:uiPriority w:val="34"/>
    <w:qFormat/>
    <w:rsid w:val="0074414D"/>
    <w:pPr>
      <w:ind w:left="720"/>
      <w:contextualSpacing/>
    </w:pPr>
  </w:style>
  <w:style w:type="character" w:styleId="IntenseEmphasis">
    <w:name w:val="Intense Emphasis"/>
    <w:basedOn w:val="DefaultParagraphFont"/>
    <w:uiPriority w:val="21"/>
    <w:qFormat/>
    <w:rsid w:val="0074414D"/>
    <w:rPr>
      <w:i/>
      <w:iCs/>
      <w:color w:val="2F5496" w:themeColor="accent1" w:themeShade="BF"/>
    </w:rPr>
  </w:style>
  <w:style w:type="paragraph" w:styleId="IntenseQuote">
    <w:name w:val="Intense Quote"/>
    <w:basedOn w:val="Normal"/>
    <w:next w:val="Normal"/>
    <w:link w:val="IntenseQuoteChar"/>
    <w:uiPriority w:val="30"/>
    <w:qFormat/>
    <w:rsid w:val="0074414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4414D"/>
    <w:rPr>
      <w:i/>
      <w:iCs/>
      <w:color w:val="2F5496" w:themeColor="accent1" w:themeShade="BF"/>
    </w:rPr>
  </w:style>
  <w:style w:type="character" w:styleId="IntenseReference">
    <w:name w:val="Intense Reference"/>
    <w:basedOn w:val="DefaultParagraphFont"/>
    <w:uiPriority w:val="32"/>
    <w:qFormat/>
    <w:rsid w:val="0074414D"/>
    <w:rPr>
      <w:b/>
      <w:bCs/>
      <w:smallCaps/>
      <w:color w:val="2F5496" w:themeColor="accent1" w:themeShade="BF"/>
      <w:spacing w:val="5"/>
    </w:rPr>
  </w:style>
  <w:style w:type="paragraph" w:styleId="NormalWeb">
    <w:name w:val="Normal (Web)"/>
    <w:basedOn w:val="Normal"/>
    <w:uiPriority w:val="99"/>
    <w:semiHidden/>
    <w:unhideWhenUsed/>
    <w:rsid w:val="0074414D"/>
    <w:pPr>
      <w:spacing w:before="100" w:beforeAutospacing="1" w:after="100" w:afterAutospacing="1" w:line="240" w:lineRule="auto"/>
    </w:pPr>
    <w:rPr>
      <w:rFonts w:ascii="Times New Roman" w:eastAsia="Times New Roman" w:hAnsi="Times New Roman" w:cs="Times New Roman"/>
      <w:kern w:val="0"/>
      <w:sz w:val="24"/>
      <w:szCs w:val="24"/>
    </w:rPr>
  </w:style>
  <w:style w:type="character" w:styleId="Strong">
    <w:name w:val="Strong"/>
    <w:basedOn w:val="DefaultParagraphFont"/>
    <w:uiPriority w:val="22"/>
    <w:qFormat/>
    <w:rsid w:val="0074414D"/>
    <w:rPr>
      <w:b/>
      <w:bCs/>
    </w:rPr>
  </w:style>
  <w:style w:type="character" w:styleId="Hyperlink">
    <w:name w:val="Hyperlink"/>
    <w:basedOn w:val="DefaultParagraphFont"/>
    <w:uiPriority w:val="99"/>
    <w:semiHidden/>
    <w:unhideWhenUsed/>
    <w:rsid w:val="007C1B62"/>
    <w:rPr>
      <w:color w:val="0000FF"/>
      <w:u w:val="single"/>
    </w:rPr>
  </w:style>
  <w:style w:type="character" w:styleId="Emphasis">
    <w:name w:val="Emphasis"/>
    <w:basedOn w:val="DefaultParagraphFont"/>
    <w:uiPriority w:val="20"/>
    <w:qFormat/>
    <w:rsid w:val="00545B2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ncbi.nlm.nih.gov/pubmed/21383512" TargetMode="External"/><Relationship Id="rId18" Type="http://schemas.openxmlformats.org/officeDocument/2006/relationships/hyperlink" Target="http://www.ncbi.nlm.nih.gov/pubmed/11755008" TargetMode="External"/><Relationship Id="rId26" Type="http://schemas.openxmlformats.org/officeDocument/2006/relationships/hyperlink" Target="http://www.ncbi.nlm.nih.gov/pubmed/25597699" TargetMode="External"/><Relationship Id="rId39" Type="http://schemas.openxmlformats.org/officeDocument/2006/relationships/hyperlink" Target="https://www.ncbi.nlm.nih.gov/pubmed/21303262" TargetMode="External"/><Relationship Id="rId21" Type="http://schemas.openxmlformats.org/officeDocument/2006/relationships/hyperlink" Target="http://www.ncbi.nlm.nih.gov/pubmed/25277322" TargetMode="External"/><Relationship Id="rId34" Type="http://schemas.openxmlformats.org/officeDocument/2006/relationships/hyperlink" Target="https://www.sciencedirect.com/science/article/pii/S014976342030631X" TargetMode="External"/><Relationship Id="rId42" Type="http://schemas.openxmlformats.org/officeDocument/2006/relationships/hyperlink" Target="https://www.ncbi.nlm.nih.gov/pubmed/24946991" TargetMode="External"/><Relationship Id="rId47" Type="http://schemas.openxmlformats.org/officeDocument/2006/relationships/hyperlink" Target="https://www.ncbi.nlm.nih.gov/pubmed/27376853" TargetMode="External"/><Relationship Id="rId50" Type="http://schemas.openxmlformats.org/officeDocument/2006/relationships/theme" Target="theme/theme1.xml"/><Relationship Id="rId7" Type="http://schemas.openxmlformats.org/officeDocument/2006/relationships/hyperlink" Target="http://www.ncbi.nlm.nih.gov/pubmed/38004235" TargetMode="External"/><Relationship Id="rId2" Type="http://schemas.openxmlformats.org/officeDocument/2006/relationships/styles" Target="styles.xml"/><Relationship Id="rId16" Type="http://schemas.openxmlformats.org/officeDocument/2006/relationships/hyperlink" Target="http://www.ncbi.nlm.nih.gov/pubmed/11606625" TargetMode="External"/><Relationship Id="rId29" Type="http://schemas.openxmlformats.org/officeDocument/2006/relationships/hyperlink" Target="http://www.ncbi.nlm.nih.gov/pubmed/20737519" TargetMode="External"/><Relationship Id="rId11" Type="http://schemas.openxmlformats.org/officeDocument/2006/relationships/hyperlink" Target="https://www.ncbi.nlm.nih.gov/pubmed/26807743" TargetMode="External"/><Relationship Id="rId24" Type="http://schemas.openxmlformats.org/officeDocument/2006/relationships/hyperlink" Target="http://www.sciencedirect.com/science/article/abs/pii/S0011393X96801147?via%3Dihub" TargetMode="External"/><Relationship Id="rId32" Type="http://schemas.openxmlformats.org/officeDocument/2006/relationships/hyperlink" Target="http://www.ncbi.nlm.nih.gov/pubmed/32055589" TargetMode="External"/><Relationship Id="rId37" Type="http://schemas.openxmlformats.org/officeDocument/2006/relationships/hyperlink" Target="https://www.ncbi.nlm.nih.gov/pmc/articles/PMC6104449/" TargetMode="External"/><Relationship Id="rId40" Type="http://schemas.openxmlformats.org/officeDocument/2006/relationships/hyperlink" Target="https://www.ncbi.nlm.nih.gov/pubmed/24643507" TargetMode="External"/><Relationship Id="rId45" Type="http://schemas.openxmlformats.org/officeDocument/2006/relationships/hyperlink" Target="http://www.ncbi.nlm.nih.gov/pubmed/22643043" TargetMode="External"/><Relationship Id="rId5" Type="http://schemas.openxmlformats.org/officeDocument/2006/relationships/hyperlink" Target="https://www.ncbi.nlm.nih.gov/pubmed/18844328" TargetMode="External"/><Relationship Id="rId15" Type="http://schemas.openxmlformats.org/officeDocument/2006/relationships/hyperlink" Target="http://www.ncbi.nlm.nih.gov/pubmed/18417733" TargetMode="External"/><Relationship Id="rId23" Type="http://schemas.openxmlformats.org/officeDocument/2006/relationships/hyperlink" Target="http://www.semanticscholar.org/paper/The-effect-of-acute-administration-of-400mg-of-on-S%C3%BCnram-Lea-Birchall/39c285a8e9cc6e24fc2d6c5ac24a917842f67416" TargetMode="External"/><Relationship Id="rId28" Type="http://schemas.openxmlformats.org/officeDocument/2006/relationships/hyperlink" Target="http://www.ncbi.nlm.nih.gov/pubmed/14647971" TargetMode="External"/><Relationship Id="rId36" Type="http://schemas.openxmlformats.org/officeDocument/2006/relationships/hyperlink" Target="https://doi.org/10.1093/nutrit/nuaa037" TargetMode="External"/><Relationship Id="rId49" Type="http://schemas.openxmlformats.org/officeDocument/2006/relationships/fontTable" Target="fontTable.xml"/><Relationship Id="rId10" Type="http://schemas.openxmlformats.org/officeDocument/2006/relationships/hyperlink" Target="https://www.ncbi.nlm.nih.gov/pubmed/27350344" TargetMode="External"/><Relationship Id="rId19" Type="http://schemas.openxmlformats.org/officeDocument/2006/relationships/hyperlink" Target="http://www.ncbi.nlm.nih.gov/pubmed/17516143" TargetMode="External"/><Relationship Id="rId31" Type="http://schemas.openxmlformats.org/officeDocument/2006/relationships/hyperlink" Target="http://www.ncbi.nlm.nih.gov/pubmed/31308812" TargetMode="External"/><Relationship Id="rId44" Type="http://schemas.openxmlformats.org/officeDocument/2006/relationships/hyperlink" Target="http://www.ncbi.nlm.nih.gov/pubmed/23443221" TargetMode="External"/><Relationship Id="rId4" Type="http://schemas.openxmlformats.org/officeDocument/2006/relationships/webSettings" Target="webSettings.xml"/><Relationship Id="rId9" Type="http://schemas.openxmlformats.org/officeDocument/2006/relationships/hyperlink" Target="http://www.ncbi.nlm.nih.gov/pubmed/40276537" TargetMode="External"/><Relationship Id="rId14" Type="http://schemas.openxmlformats.org/officeDocument/2006/relationships/hyperlink" Target="https://www.ncbi.nlm.nih.gov/pubmed/18758067" TargetMode="External"/><Relationship Id="rId22" Type="http://schemas.openxmlformats.org/officeDocument/2006/relationships/hyperlink" Target="http://www.ncbi.nlm.nih.gov/pubmed/3528672" TargetMode="External"/><Relationship Id="rId27" Type="http://schemas.openxmlformats.org/officeDocument/2006/relationships/hyperlink" Target="http://www.ncbi.nlm.nih.gov/pubmed/26938637" TargetMode="External"/><Relationship Id="rId30" Type="http://schemas.openxmlformats.org/officeDocument/2006/relationships/hyperlink" Target="http://www.ncbi.nlm.nih.gov/pubmed/23717119" TargetMode="External"/><Relationship Id="rId35" Type="http://schemas.openxmlformats.org/officeDocument/2006/relationships/hyperlink" Target="https://www.ncbi.nlm.nih.gov/pmc/articles/PMC7066922/" TargetMode="External"/><Relationship Id="rId43" Type="http://schemas.openxmlformats.org/officeDocument/2006/relationships/hyperlink" Target="http://www.ncbi.nlm.nih.gov/pubmed/10839209" TargetMode="External"/><Relationship Id="rId48" Type="http://schemas.openxmlformats.org/officeDocument/2006/relationships/hyperlink" Target="http://www.ncbi.nlm.nih.gov/pubmed/23516061" TargetMode="External"/><Relationship Id="rId8" Type="http://schemas.openxmlformats.org/officeDocument/2006/relationships/hyperlink" Target="http://www.ncbi.nlm.nih.gov/pubmed/36582308" TargetMode="External"/><Relationship Id="rId3" Type="http://schemas.openxmlformats.org/officeDocument/2006/relationships/settings" Target="settings.xml"/><Relationship Id="rId12" Type="http://schemas.openxmlformats.org/officeDocument/2006/relationships/hyperlink" Target="https://www.ncbi.nlm.nih.gov/pubmed/29463001" TargetMode="External"/><Relationship Id="rId17" Type="http://schemas.openxmlformats.org/officeDocument/2006/relationships/hyperlink" Target="http://www.ncbi.nlm.nih.gov/pubmed/15590663" TargetMode="External"/><Relationship Id="rId25" Type="http://schemas.openxmlformats.org/officeDocument/2006/relationships/hyperlink" Target="http://www.ncbi.nlm.nih.gov/pubmed/33217050" TargetMode="External"/><Relationship Id="rId33" Type="http://schemas.openxmlformats.org/officeDocument/2006/relationships/hyperlink" Target="http://www.ncbi.nlm.nih.gov/pubmed/21154383" TargetMode="External"/><Relationship Id="rId38" Type="http://schemas.openxmlformats.org/officeDocument/2006/relationships/hyperlink" Target="http://www.ncbi.nlm.nih.gov/pubmed/39213264" TargetMode="External"/><Relationship Id="rId46" Type="http://schemas.openxmlformats.org/officeDocument/2006/relationships/hyperlink" Target="http://www.ncbi.nlm.nih.gov/pubmed/25861937" TargetMode="External"/><Relationship Id="rId20" Type="http://schemas.openxmlformats.org/officeDocument/2006/relationships/hyperlink" Target="http://www.ncbi.nlm.nih.gov/pubmed/16870699" TargetMode="External"/><Relationship Id="rId41" Type="http://schemas.openxmlformats.org/officeDocument/2006/relationships/hyperlink" Target="https://www.ncbi.nlm.nih.gov/pubmed/18254874" TargetMode="External"/><Relationship Id="rId1" Type="http://schemas.openxmlformats.org/officeDocument/2006/relationships/numbering" Target="numbering.xml"/><Relationship Id="rId6" Type="http://schemas.openxmlformats.org/officeDocument/2006/relationships/hyperlink" Target="https://www.ncbi.nlm.nih.gov/pubmed/314132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4308</Words>
  <Characters>24562</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Monir Djavaheri</dc:creator>
  <cp:keywords/>
  <dc:description/>
  <cp:lastModifiedBy>Monir Djavaheri</cp:lastModifiedBy>
  <cp:revision>2</cp:revision>
  <dcterms:created xsi:type="dcterms:W3CDTF">2025-09-18T20:08:00Z</dcterms:created>
  <dcterms:modified xsi:type="dcterms:W3CDTF">2025-09-18T20:08:00Z</dcterms:modified>
</cp:coreProperties>
</file>